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8574B3">
      <w:pPr>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维修改造项目监理服务单位</w:t>
      </w:r>
      <w:r>
        <w:rPr>
          <w:rFonts w:hint="eastAsia" w:ascii="方正小标宋_GBK" w:hAnsi="方正小标宋_GBK" w:eastAsia="方正小标宋_GBK" w:cs="方正小标宋_GBK"/>
          <w:sz w:val="44"/>
          <w:szCs w:val="44"/>
        </w:rPr>
        <w:t>遴选</w:t>
      </w:r>
      <w:r>
        <w:rPr>
          <w:rFonts w:hint="eastAsia" w:ascii="方正小标宋_GBK" w:hAnsi="方正小标宋_GBK" w:eastAsia="方正小标宋_GBK" w:cs="方正小标宋_GBK"/>
          <w:sz w:val="44"/>
          <w:szCs w:val="44"/>
          <w:lang w:val="en-US" w:eastAsia="zh-CN"/>
        </w:rPr>
        <w:t>文件</w:t>
      </w:r>
    </w:p>
    <w:p w14:paraId="5D2A82EF">
      <w:pPr>
        <w:keepNext w:val="0"/>
        <w:keepLines w:val="0"/>
        <w:pageBreakBefore w:val="0"/>
        <w:widowControl w:val="0"/>
        <w:kinsoku/>
        <w:wordWrap/>
        <w:overflowPunct/>
        <w:topLinePunct w:val="0"/>
        <w:autoSpaceDE/>
        <w:autoSpaceDN/>
        <w:bidi w:val="0"/>
        <w:adjustRightInd/>
        <w:snapToGrid/>
        <w:spacing w:line="520" w:lineRule="exact"/>
        <w:ind w:left="2738" w:leftChars="304" w:hanging="2100" w:hangingChars="700"/>
        <w:jc w:val="left"/>
        <w:textAlignment w:val="auto"/>
        <w:rPr>
          <w:rFonts w:hint="eastAsia" w:ascii="仿宋_GB2312" w:hAnsi="仿宋_GB2312" w:eastAsia="仿宋_GB2312" w:cs="仿宋_GB2312"/>
          <w:sz w:val="28"/>
          <w:szCs w:val="28"/>
          <w:lang w:val="en-US" w:eastAsia="zh-CN"/>
        </w:rPr>
      </w:pPr>
      <w:r>
        <w:rPr>
          <w:rFonts w:hint="eastAsia" w:ascii="黑体" w:hAnsi="黑体" w:eastAsia="黑体" w:cs="黑体"/>
          <w:bCs/>
          <w:color w:val="0D0D0D" w:themeColor="text1" w:themeTint="F2"/>
          <w:sz w:val="30"/>
          <w:szCs w:val="30"/>
          <w:lang w:val="en-US" w:eastAsia="zh-CN"/>
          <w14:textFill>
            <w14:solidFill>
              <w14:schemeClr w14:val="tx1">
                <w14:lumMod w14:val="95000"/>
                <w14:lumOff w14:val="5000"/>
              </w14:schemeClr>
            </w14:solidFill>
          </w14:textFill>
        </w:rPr>
        <w:t>一、项目名称：</w:t>
      </w:r>
      <w:r>
        <w:rPr>
          <w:rFonts w:hint="eastAsia" w:ascii="仿宋_GB2312" w:hAnsi="仿宋_GB2312" w:eastAsia="仿宋_GB2312" w:cs="仿宋_GB2312"/>
          <w:sz w:val="28"/>
          <w:szCs w:val="28"/>
          <w:lang w:val="en-US" w:eastAsia="zh-CN"/>
        </w:rPr>
        <w:t>维修改造项目监理服务单位遴选项目</w:t>
      </w:r>
    </w:p>
    <w:p w14:paraId="74E30B98">
      <w:pPr>
        <w:keepNext w:val="0"/>
        <w:keepLines w:val="0"/>
        <w:pageBreakBefore w:val="0"/>
        <w:widowControl w:val="0"/>
        <w:kinsoku/>
        <w:wordWrap/>
        <w:overflowPunct/>
        <w:topLinePunct w:val="0"/>
        <w:autoSpaceDE/>
        <w:autoSpaceDN/>
        <w:bidi w:val="0"/>
        <w:adjustRightInd/>
        <w:snapToGrid/>
        <w:spacing w:line="520" w:lineRule="exact"/>
        <w:ind w:left="2738" w:leftChars="304" w:hanging="2100" w:hangingChars="700"/>
        <w:jc w:val="left"/>
        <w:textAlignment w:val="auto"/>
        <w:rPr>
          <w:rFonts w:hint="eastAsia" w:ascii="黑体" w:hAnsi="黑体" w:eastAsia="黑体" w:cs="黑体"/>
          <w:bCs/>
          <w:color w:val="0D0D0D" w:themeColor="text1" w:themeTint="F2"/>
          <w:sz w:val="30"/>
          <w:szCs w:val="30"/>
          <w:lang w:val="en-US" w:eastAsia="zh-CN"/>
          <w14:textFill>
            <w14:solidFill>
              <w14:schemeClr w14:val="tx1">
                <w14:lumMod w14:val="95000"/>
                <w14:lumOff w14:val="5000"/>
              </w14:schemeClr>
            </w14:solidFill>
          </w14:textFill>
        </w:rPr>
      </w:pPr>
      <w:r>
        <w:rPr>
          <w:rFonts w:hint="eastAsia" w:ascii="黑体" w:hAnsi="黑体" w:eastAsia="黑体" w:cs="黑体"/>
          <w:bCs/>
          <w:color w:val="0D0D0D" w:themeColor="text1" w:themeTint="F2"/>
          <w:sz w:val="30"/>
          <w:szCs w:val="30"/>
          <w:lang w:val="en-US" w:eastAsia="zh-CN"/>
          <w14:textFill>
            <w14:solidFill>
              <w14:schemeClr w14:val="tx1">
                <w14:lumMod w14:val="95000"/>
                <w14:lumOff w14:val="5000"/>
              </w14:schemeClr>
            </w14:solidFill>
          </w14:textFill>
        </w:rPr>
        <w:t>二、项目说明</w:t>
      </w:r>
    </w:p>
    <w:p w14:paraId="088C48C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 1.服务内容：后勤服务中心工程类维修改造项目所需监理服务。主要范围：单个维修改造合同金额在20万元（含）以上、100万元以下的项目；单个维修改造合同金额在20万元以下的项目，具体视项目工程施工难度确定监理服务，可参照执行。</w:t>
      </w:r>
    </w:p>
    <w:p w14:paraId="08A730F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lang w:val="en-US" w:eastAsia="zh-CN"/>
        </w:rPr>
        <w:t>2.服务</w:t>
      </w:r>
      <w:r>
        <w:rPr>
          <w:rFonts w:hint="eastAsia" w:ascii="仿宋_GB2312" w:hAnsi="仿宋_GB2312" w:eastAsia="仿宋_GB2312" w:cs="仿宋_GB2312"/>
          <w:sz w:val="28"/>
          <w:szCs w:val="28"/>
          <w:highlight w:val="none"/>
          <w:lang w:val="en-US" w:eastAsia="zh-CN"/>
        </w:rPr>
        <w:t>期限：合同签订之日至2027年12月31日。</w:t>
      </w:r>
    </w:p>
    <w:p w14:paraId="675BA3A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3.遴选数量：3家。</w:t>
      </w:r>
    </w:p>
    <w:p w14:paraId="5AAA300F">
      <w:pPr>
        <w:keepNext w:val="0"/>
        <w:keepLines w:val="0"/>
        <w:pageBreakBefore w:val="0"/>
        <w:widowControl w:val="0"/>
        <w:kinsoku/>
        <w:wordWrap/>
        <w:overflowPunct/>
        <w:topLinePunct w:val="0"/>
        <w:autoSpaceDE/>
        <w:autoSpaceDN/>
        <w:bidi w:val="0"/>
        <w:adjustRightInd/>
        <w:snapToGrid/>
        <w:spacing w:line="520" w:lineRule="exact"/>
        <w:ind w:left="2738" w:leftChars="304" w:hanging="2100" w:hangingChars="700"/>
        <w:jc w:val="left"/>
        <w:textAlignment w:val="auto"/>
        <w:rPr>
          <w:rFonts w:hint="eastAsia" w:ascii="黑体" w:hAnsi="黑体" w:eastAsia="黑体" w:cs="黑体"/>
          <w:bCs/>
          <w:color w:val="0D0D0D" w:themeColor="text1" w:themeTint="F2"/>
          <w:sz w:val="30"/>
          <w:szCs w:val="30"/>
          <w:lang w:val="en-US" w:eastAsia="zh-CN"/>
          <w14:textFill>
            <w14:solidFill>
              <w14:schemeClr w14:val="tx1">
                <w14:lumMod w14:val="95000"/>
                <w14:lumOff w14:val="5000"/>
              </w14:schemeClr>
            </w14:solidFill>
          </w14:textFill>
        </w:rPr>
      </w:pPr>
      <w:r>
        <w:rPr>
          <w:rFonts w:hint="eastAsia" w:ascii="黑体" w:hAnsi="黑体" w:eastAsia="黑体" w:cs="黑体"/>
          <w:bCs/>
          <w:color w:val="0D0D0D" w:themeColor="text1" w:themeTint="F2"/>
          <w:sz w:val="30"/>
          <w:szCs w:val="30"/>
          <w:lang w:val="en-US" w:eastAsia="zh-CN"/>
          <w14:textFill>
            <w14:solidFill>
              <w14:schemeClr w14:val="tx1">
                <w14:lumMod w14:val="95000"/>
                <w14:lumOff w14:val="5000"/>
              </w14:schemeClr>
            </w14:solidFill>
          </w14:textFill>
        </w:rPr>
        <w:t>三、资格要求</w:t>
      </w:r>
    </w:p>
    <w:p w14:paraId="12E35E6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1.投标人应具备独立承担民事责任的能力，具有本项目经营范围，持有国家规定从事本行业的一系列相关证件。</w:t>
      </w:r>
    </w:p>
    <w:p w14:paraId="71671880">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2.未被“信用中国”网站(www.creditchina.gov.cn)列入失信被执行人、重大税收违法案件当事人名单；未被“中国政府采购网”(www.ccgp.gov.cn)列入政府采购严重违法失信行为记录名单。</w:t>
      </w:r>
    </w:p>
    <w:p w14:paraId="341C5F5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3.投标人具有建设行政主管部门核发的房屋建筑工程监理乙级及以上资质（或工程监理综合资质）。</w:t>
      </w:r>
    </w:p>
    <w:p w14:paraId="5149C00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4.项目负责人须具备有效期内的房屋建筑工程专业国家注册监理工程师执业资格。</w:t>
      </w:r>
    </w:p>
    <w:p w14:paraId="6FB09E5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5.服务期限内，凡为学校同一采购项目提供招标代理、设计、造价编制、竣工结算审计等服务的单位，不得再参加本次投标。    </w:t>
      </w:r>
    </w:p>
    <w:p w14:paraId="198BB7B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6.服务期限内，中标人不得再参与后勤维修改造项目投标、施工等。</w:t>
      </w:r>
    </w:p>
    <w:p w14:paraId="0945F041">
      <w:pPr>
        <w:keepNext w:val="0"/>
        <w:keepLines w:val="0"/>
        <w:pageBreakBefore w:val="0"/>
        <w:widowControl w:val="0"/>
        <w:kinsoku/>
        <w:wordWrap/>
        <w:overflowPunct/>
        <w:topLinePunct w:val="0"/>
        <w:autoSpaceDE/>
        <w:autoSpaceDN/>
        <w:bidi w:val="0"/>
        <w:adjustRightInd/>
        <w:snapToGrid/>
        <w:spacing w:line="520" w:lineRule="exact"/>
        <w:ind w:left="2738" w:leftChars="304" w:hanging="2100" w:hangingChars="700"/>
        <w:jc w:val="left"/>
        <w:textAlignment w:val="auto"/>
        <w:rPr>
          <w:rFonts w:hint="eastAsia" w:ascii="黑体" w:hAnsi="黑体" w:eastAsia="黑体" w:cs="黑体"/>
          <w:bCs/>
          <w:color w:val="0D0D0D" w:themeColor="text1" w:themeTint="F2"/>
          <w:sz w:val="30"/>
          <w:szCs w:val="30"/>
          <w:lang w:val="en-US" w:eastAsia="zh-CN"/>
          <w14:textFill>
            <w14:solidFill>
              <w14:schemeClr w14:val="tx1">
                <w14:lumMod w14:val="95000"/>
                <w14:lumOff w14:val="5000"/>
              </w14:schemeClr>
            </w14:solidFill>
          </w14:textFill>
        </w:rPr>
      </w:pPr>
      <w:r>
        <w:rPr>
          <w:rFonts w:hint="eastAsia" w:ascii="黑体" w:hAnsi="黑体" w:eastAsia="黑体" w:cs="黑体"/>
          <w:bCs/>
          <w:color w:val="0D0D0D" w:themeColor="text1" w:themeTint="F2"/>
          <w:sz w:val="30"/>
          <w:szCs w:val="30"/>
          <w:lang w:val="en-US" w:eastAsia="zh-CN"/>
          <w14:textFill>
            <w14:solidFill>
              <w14:schemeClr w14:val="tx1">
                <w14:lumMod w14:val="95000"/>
                <w14:lumOff w14:val="5000"/>
              </w14:schemeClr>
            </w14:solidFill>
          </w14:textFill>
        </w:rPr>
        <w:t>四、资格文件</w:t>
      </w:r>
    </w:p>
    <w:p w14:paraId="25868E2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资格文件应包含以下内容（文件需装订成册，所有证件均须真实、有效，复印件均须加盖公章，缺少以下任意一项内容即作不符合要求）：   </w:t>
      </w:r>
    </w:p>
    <w:p w14:paraId="2386FD7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1.投标代表人身份证复印件；如非法定代表人投标，另提供法定代表人授权委托书原件、授权代表人在投标人单位近三个月缴纳社保的凭证、法定代表人身份证复印件；</w:t>
      </w:r>
    </w:p>
    <w:p w14:paraId="65C03FC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sz w:val="28"/>
          <w:szCs w:val="28"/>
          <w:lang w:val="en-US" w:eastAsia="zh-CN"/>
        </w:rPr>
        <w:t>2.有效的营业执照副本复印件、税务登记证副本复印件（或“三证合一”营业执照副本复印件、或“五证合一”营业执照副本复印件）；</w:t>
      </w:r>
    </w:p>
    <w:p w14:paraId="546AFD1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3.具有建设行政主管部门核发的房屋建筑工程监理乙级及以上资质</w:t>
      </w:r>
      <w:r>
        <w:rPr>
          <w:rFonts w:ascii="仿宋_GB2312" w:hAnsi="仿宋_GB2312" w:eastAsia="仿宋_GB2312" w:cs="仿宋_GB2312"/>
          <w:i w:val="0"/>
          <w:iCs w:val="0"/>
          <w:caps w:val="0"/>
          <w:color w:val="333333"/>
          <w:spacing w:val="0"/>
          <w:sz w:val="28"/>
          <w:szCs w:val="28"/>
          <w:shd w:val="clear" w:fill="FFFFFF"/>
        </w:rPr>
        <w:t>（或工程监理综合资质）</w:t>
      </w:r>
      <w:bookmarkStart w:id="0" w:name="_GoBack"/>
      <w:bookmarkEnd w:id="0"/>
      <w:r>
        <w:rPr>
          <w:rFonts w:hint="eastAsia" w:ascii="仿宋_GB2312" w:hAnsi="仿宋_GB2312" w:eastAsia="仿宋_GB2312" w:cs="仿宋_GB2312"/>
          <w:sz w:val="28"/>
          <w:szCs w:val="28"/>
          <w:lang w:val="en-US" w:eastAsia="zh-CN"/>
        </w:rPr>
        <w:t>，相关证明资料复印件；</w:t>
      </w:r>
    </w:p>
    <w:p w14:paraId="69A6EF5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5.项目负责人须具备有效期内的房屋建筑工程专业国家注册监理工程师执业资格，提供证书复印件，并提供在投标人单位近三个月缴纳社保的凭证；</w:t>
      </w:r>
    </w:p>
    <w:p w14:paraId="77C4D83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6.提供自采购公告发布之日起至开标截止时间止的“信用中国”网站（www.creditchina.gov.cn）、中国政府采购网（www.ccgp.gov.cn）、“浙江政府采购网”（zfcg.czt.zj.gov.cn）投标人信用查询网页截图（至少提供2个）；</w:t>
      </w:r>
    </w:p>
    <w:p w14:paraId="72D7B2A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7.其他能够反映申请商家资质的材料。</w:t>
      </w:r>
    </w:p>
    <w:p w14:paraId="71A2302A">
      <w:pPr>
        <w:keepNext w:val="0"/>
        <w:keepLines w:val="0"/>
        <w:pageBreakBefore w:val="0"/>
        <w:widowControl w:val="0"/>
        <w:kinsoku/>
        <w:wordWrap/>
        <w:overflowPunct/>
        <w:topLinePunct w:val="0"/>
        <w:autoSpaceDE/>
        <w:autoSpaceDN/>
        <w:bidi w:val="0"/>
        <w:adjustRightInd/>
        <w:snapToGrid/>
        <w:spacing w:line="520" w:lineRule="exact"/>
        <w:ind w:left="2738" w:leftChars="304" w:hanging="2100" w:hangingChars="700"/>
        <w:jc w:val="left"/>
        <w:textAlignment w:val="auto"/>
        <w:rPr>
          <w:rFonts w:hint="eastAsia" w:ascii="黑体" w:hAnsi="黑体" w:eastAsia="黑体" w:cs="黑体"/>
          <w:bCs/>
          <w:color w:val="0D0D0D" w:themeColor="text1" w:themeTint="F2"/>
          <w:sz w:val="30"/>
          <w:szCs w:val="30"/>
          <w:lang w:val="en-US" w:eastAsia="zh-CN"/>
          <w14:textFill>
            <w14:solidFill>
              <w14:schemeClr w14:val="tx1">
                <w14:lumMod w14:val="95000"/>
                <w14:lumOff w14:val="5000"/>
              </w14:schemeClr>
            </w14:solidFill>
          </w14:textFill>
        </w:rPr>
      </w:pPr>
      <w:r>
        <w:rPr>
          <w:rFonts w:hint="eastAsia" w:ascii="黑体" w:hAnsi="黑体" w:eastAsia="黑体" w:cs="黑体"/>
          <w:bCs/>
          <w:color w:val="0D0D0D" w:themeColor="text1" w:themeTint="F2"/>
          <w:sz w:val="30"/>
          <w:szCs w:val="30"/>
          <w:lang w:val="en-US" w:eastAsia="zh-CN"/>
          <w14:textFill>
            <w14:solidFill>
              <w14:schemeClr w14:val="tx1">
                <w14:lumMod w14:val="95000"/>
                <w14:lumOff w14:val="5000"/>
              </w14:schemeClr>
            </w14:solidFill>
          </w14:textFill>
        </w:rPr>
        <w:t>五、中标方式</w:t>
      </w:r>
    </w:p>
    <w:p w14:paraId="2E6C4030">
      <w:pPr>
        <w:keepNext w:val="0"/>
        <w:keepLines w:val="0"/>
        <w:pageBreakBefore w:val="0"/>
        <w:widowControl w:val="0"/>
        <w:kinsoku/>
        <w:wordWrap/>
        <w:overflowPunct/>
        <w:topLinePunct w:val="0"/>
        <w:autoSpaceDE/>
        <w:autoSpaceDN/>
        <w:bidi w:val="0"/>
        <w:adjustRightInd/>
        <w:snapToGrid/>
        <w:spacing w:line="520" w:lineRule="exact"/>
        <w:ind w:left="2038" w:leftChars="304" w:hanging="1400" w:hangingChars="500"/>
        <w:jc w:val="lef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（一）中标方式</w:t>
      </w:r>
    </w:p>
    <w:p w14:paraId="79FB8AC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2" w:firstLineChars="200"/>
        <w:jc w:val="left"/>
        <w:textAlignment w:val="auto"/>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1.投标人按照监理费率进行报价，监理费率最高限价1%。报价保留小数点后两位，投标报价高于最高限价均为无效标。</w:t>
      </w:r>
    </w:p>
    <w:p w14:paraId="39F65AD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2.根据投标人投标报价排序，选择优惠排名前3家作为中标人。最终监理费率为3家中标人投标监理费率的平均值。</w:t>
      </w:r>
    </w:p>
    <w:p w14:paraId="12636BD9">
      <w:pPr>
        <w:keepNext w:val="0"/>
        <w:keepLines w:val="0"/>
        <w:pageBreakBefore w:val="0"/>
        <w:widowControl w:val="0"/>
        <w:kinsoku/>
        <w:wordWrap/>
        <w:overflowPunct/>
        <w:topLinePunct w:val="0"/>
        <w:autoSpaceDE/>
        <w:autoSpaceDN/>
        <w:bidi w:val="0"/>
        <w:adjustRightInd/>
        <w:snapToGrid/>
        <w:spacing w:line="520" w:lineRule="exact"/>
        <w:ind w:left="2038" w:leftChars="304" w:hanging="1400" w:hangingChars="500"/>
        <w:jc w:val="lef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（二）服务费用计算</w:t>
      </w:r>
    </w:p>
    <w:p w14:paraId="1D308292">
      <w:pPr>
        <w:keepNext w:val="0"/>
        <w:keepLines w:val="0"/>
        <w:pageBreakBefore w:val="0"/>
        <w:widowControl w:val="0"/>
        <w:kinsoku/>
        <w:wordWrap/>
        <w:overflowPunct/>
        <w:topLinePunct w:val="0"/>
        <w:autoSpaceDE/>
        <w:autoSpaceDN/>
        <w:bidi w:val="0"/>
        <w:adjustRightInd/>
        <w:snapToGrid/>
        <w:spacing w:line="520" w:lineRule="exact"/>
        <w:ind w:left="2038" w:leftChars="304" w:hanging="1400" w:hangingChars="500"/>
        <w:jc w:val="lef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监理服务费=工程项目合同价（元）×最终监理费率。</w:t>
      </w:r>
    </w:p>
    <w:p w14:paraId="2C6766B2">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2738" w:leftChars="304" w:hanging="2100" w:hangingChars="700"/>
        <w:jc w:val="left"/>
        <w:textAlignment w:val="auto"/>
        <w:rPr>
          <w:rFonts w:hint="eastAsia" w:ascii="黑体" w:hAnsi="黑体" w:eastAsia="黑体" w:cs="黑体"/>
          <w:bCs/>
          <w:color w:val="0D0D0D" w:themeColor="text1" w:themeTint="F2"/>
          <w:sz w:val="30"/>
          <w:szCs w:val="30"/>
          <w:highlight w:val="none"/>
          <w:lang w:val="en-US" w:eastAsia="zh-CN"/>
          <w14:textFill>
            <w14:solidFill>
              <w14:schemeClr w14:val="tx1">
                <w14:lumMod w14:val="95000"/>
                <w14:lumOff w14:val="5000"/>
              </w14:schemeClr>
            </w14:solidFill>
          </w14:textFill>
        </w:rPr>
      </w:pPr>
      <w:r>
        <w:rPr>
          <w:rFonts w:hint="eastAsia" w:ascii="黑体" w:hAnsi="黑体" w:eastAsia="黑体" w:cs="黑体"/>
          <w:bCs/>
          <w:color w:val="0D0D0D" w:themeColor="text1" w:themeTint="F2"/>
          <w:sz w:val="30"/>
          <w:szCs w:val="30"/>
          <w:highlight w:val="none"/>
          <w:lang w:val="en-US" w:eastAsia="zh-CN"/>
          <w14:textFill>
            <w14:solidFill>
              <w14:schemeClr w14:val="tx1">
                <w14:lumMod w14:val="95000"/>
                <w14:lumOff w14:val="5000"/>
              </w14:schemeClr>
            </w14:solidFill>
          </w14:textFill>
        </w:rPr>
        <w:t>付款方式</w:t>
      </w:r>
    </w:p>
    <w:p w14:paraId="0B2348A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396"/>
        <w:jc w:val="left"/>
        <w:textAlignment w:val="auto"/>
        <w:rPr>
          <w:rFonts w:hint="eastAsia" w:ascii="黑体" w:hAnsi="黑体" w:eastAsia="黑体" w:cs="黑体"/>
          <w:bCs/>
          <w:color w:val="0D0D0D" w:themeColor="text1" w:themeTint="F2"/>
          <w:sz w:val="30"/>
          <w:szCs w:val="30"/>
          <w:lang w:val="en-US" w:eastAsia="zh-CN"/>
          <w14:textFill>
            <w14:solidFill>
              <w14:schemeClr w14:val="tx1">
                <w14:lumMod w14:val="95000"/>
                <w14:lumOff w14:val="5000"/>
              </w14:schemeClr>
            </w14:solidFill>
          </w14:textFill>
        </w:rPr>
      </w:pPr>
      <w:r>
        <w:rPr>
          <w:rFonts w:hint="eastAsia" w:ascii="黑体" w:hAnsi="黑体" w:eastAsia="黑体" w:cs="黑体"/>
          <w:bCs/>
          <w:color w:val="0D0D0D" w:themeColor="text1" w:themeTint="F2"/>
          <w:sz w:val="30"/>
          <w:szCs w:val="30"/>
          <w:lang w:val="en-US" w:eastAsia="zh-CN"/>
          <w14:textFill>
            <w14:solidFill>
              <w14:schemeClr w14:val="tx1">
                <w14:lumMod w14:val="95000"/>
                <w14:lumOff w14:val="5000"/>
              </w14:schemeClr>
            </w14:solidFill>
          </w14:textFill>
        </w:rPr>
        <w:t xml:space="preserve">         </w:t>
      </w:r>
      <w:r>
        <w:rPr>
          <w:rFonts w:hint="eastAsia" w:ascii="仿宋_GB2312" w:hAnsi="仿宋_GB2312" w:eastAsia="仿宋_GB2312" w:cs="仿宋_GB2312"/>
          <w:color w:val="0D0D0D" w:themeColor="text1" w:themeTint="F2"/>
          <w:sz w:val="28"/>
          <w:szCs w:val="28"/>
          <w:lang w:val="en-US" w:eastAsia="zh-CN"/>
          <w14:textFill>
            <w14:solidFill>
              <w14:schemeClr w14:val="tx1">
                <w14:lumMod w14:val="95000"/>
                <w14:lumOff w14:val="5000"/>
              </w14:schemeClr>
            </w14:solidFill>
          </w14:textFill>
        </w:rPr>
        <w:t xml:space="preserve"> 协助工程项目实施完毕并通过验收后一次性支付监理费。</w:t>
      </w:r>
    </w:p>
    <w:p w14:paraId="75BCF3E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0" w:firstLineChars="200"/>
        <w:jc w:val="left"/>
        <w:textAlignment w:val="auto"/>
        <w:rPr>
          <w:rFonts w:hint="eastAsia" w:ascii="黑体" w:hAnsi="黑体" w:eastAsia="黑体" w:cs="黑体"/>
          <w:bCs/>
          <w:color w:val="0D0D0D" w:themeColor="text1" w:themeTint="F2"/>
          <w:sz w:val="30"/>
          <w:szCs w:val="30"/>
          <w:lang w:val="en-US" w:eastAsia="zh-CN"/>
          <w14:textFill>
            <w14:solidFill>
              <w14:schemeClr w14:val="tx1">
                <w14:lumMod w14:val="95000"/>
                <w14:lumOff w14:val="5000"/>
              </w14:schemeClr>
            </w14:solidFill>
          </w14:textFill>
        </w:rPr>
      </w:pPr>
      <w:r>
        <w:rPr>
          <w:rFonts w:hint="eastAsia" w:ascii="黑体" w:hAnsi="黑体" w:eastAsia="黑体" w:cs="黑体"/>
          <w:bCs/>
          <w:color w:val="0D0D0D" w:themeColor="text1" w:themeTint="F2"/>
          <w:sz w:val="30"/>
          <w:szCs w:val="30"/>
          <w:lang w:val="en-US" w:eastAsia="zh-CN"/>
          <w14:textFill>
            <w14:solidFill>
              <w14:schemeClr w14:val="tx1">
                <w14:lumMod w14:val="95000"/>
                <w14:lumOff w14:val="5000"/>
              </w14:schemeClr>
            </w14:solidFill>
          </w14:textFill>
        </w:rPr>
        <w:t>七、服务要求</w:t>
      </w:r>
    </w:p>
    <w:p w14:paraId="4A46864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0D0D0D" w:themeColor="text1" w:themeTint="F2"/>
          <w:sz w:val="28"/>
          <w:szCs w:val="28"/>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color w:val="0D0D0D" w:themeColor="text1" w:themeTint="F2"/>
          <w:sz w:val="28"/>
          <w:szCs w:val="28"/>
          <w:lang w:val="en-US" w:eastAsia="zh-CN"/>
          <w14:textFill>
            <w14:solidFill>
              <w14:schemeClr w14:val="tx1">
                <w14:lumMod w14:val="95000"/>
                <w14:lumOff w14:val="5000"/>
              </w14:schemeClr>
            </w14:solidFill>
          </w14:textFill>
        </w:rPr>
        <w:t>1.中标人委派专人驻场管理，负责维修项目施工全过程质量控制、进度控制、投资控制、安全管理、合同履行、信息等管理和工作协调，协助项目验收。</w:t>
      </w:r>
    </w:p>
    <w:p w14:paraId="1B5663E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0D0D0D" w:themeColor="text1" w:themeTint="F2"/>
          <w:sz w:val="28"/>
          <w:szCs w:val="28"/>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color w:val="0D0D0D" w:themeColor="text1" w:themeTint="F2"/>
          <w:sz w:val="28"/>
          <w:szCs w:val="28"/>
          <w:lang w:val="en-US" w:eastAsia="zh-CN"/>
          <w14:textFill>
            <w14:solidFill>
              <w14:schemeClr w14:val="tx1">
                <w14:lumMod w14:val="95000"/>
                <w14:lumOff w14:val="5000"/>
              </w14:schemeClr>
            </w14:solidFill>
          </w14:textFill>
        </w:rPr>
        <w:t>2.中标人应严格按《建设工程监理规范》（GB/T50319-2013）要求组织实施。</w:t>
      </w:r>
    </w:p>
    <w:p w14:paraId="0CD0E97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0D0D0D" w:themeColor="text1" w:themeTint="F2"/>
          <w:sz w:val="28"/>
          <w:szCs w:val="28"/>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color w:val="0D0D0D" w:themeColor="text1" w:themeTint="F2"/>
          <w:sz w:val="28"/>
          <w:szCs w:val="28"/>
          <w:lang w:val="en-US" w:eastAsia="zh-CN"/>
          <w14:textFill>
            <w14:solidFill>
              <w14:schemeClr w14:val="tx1">
                <w14:lumMod w14:val="95000"/>
                <w14:lumOff w14:val="5000"/>
              </w14:schemeClr>
            </w14:solidFill>
          </w14:textFill>
        </w:rPr>
        <w:t>3.每家中标人服务项目数不得超过本次服务期限内总项目数的二分之一。委托人按照中标人投标优惠率由高到低依次排序，按项目顺序轮流分配监理任务。</w:t>
      </w:r>
    </w:p>
    <w:p w14:paraId="33102CD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0D0D0D" w:themeColor="text1" w:themeTint="F2"/>
          <w:sz w:val="28"/>
          <w:szCs w:val="28"/>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color w:val="0D0D0D" w:themeColor="text1" w:themeTint="F2"/>
          <w:sz w:val="28"/>
          <w:szCs w:val="28"/>
          <w:lang w:val="en-US" w:eastAsia="zh-CN"/>
          <w14:textFill>
            <w14:solidFill>
              <w14:schemeClr w14:val="tx1">
                <w14:lumMod w14:val="95000"/>
                <w14:lumOff w14:val="5000"/>
              </w14:schemeClr>
            </w14:solidFill>
          </w14:textFill>
        </w:rPr>
        <w:t>4.中标人须接受采购人的考核管理。采购人将按照每个单项对监理服务进行考核，考核办法另行制定。</w:t>
      </w:r>
    </w:p>
    <w:p w14:paraId="0F0B9408">
      <w:pPr>
        <w:keepNext w:val="0"/>
        <w:keepLines w:val="0"/>
        <w:pageBreakBefore w:val="0"/>
        <w:widowControl w:val="0"/>
        <w:kinsoku/>
        <w:wordWrap/>
        <w:overflowPunct/>
        <w:topLinePunct w:val="0"/>
        <w:autoSpaceDE/>
        <w:autoSpaceDN/>
        <w:bidi w:val="0"/>
        <w:adjustRightInd/>
        <w:snapToGrid/>
        <w:spacing w:line="520" w:lineRule="exact"/>
        <w:ind w:left="2738" w:leftChars="304" w:hanging="2100" w:hangingChars="700"/>
        <w:jc w:val="left"/>
        <w:textAlignment w:val="auto"/>
        <w:rPr>
          <w:rFonts w:hint="eastAsia" w:ascii="黑体" w:hAnsi="黑体" w:eastAsia="黑体" w:cs="黑体"/>
          <w:bCs/>
          <w:color w:val="0D0D0D" w:themeColor="text1" w:themeTint="F2"/>
          <w:sz w:val="30"/>
          <w:szCs w:val="30"/>
          <w:lang w:val="en-US" w:eastAsia="zh-CN"/>
          <w14:textFill>
            <w14:solidFill>
              <w14:schemeClr w14:val="tx1">
                <w14:lumMod w14:val="95000"/>
                <w14:lumOff w14:val="5000"/>
              </w14:schemeClr>
            </w14:solidFill>
          </w14:textFill>
        </w:rPr>
      </w:pPr>
      <w:r>
        <w:rPr>
          <w:rFonts w:hint="eastAsia" w:ascii="黑体" w:hAnsi="黑体" w:eastAsia="黑体" w:cs="黑体"/>
          <w:bCs/>
          <w:color w:val="0D0D0D" w:themeColor="text1" w:themeTint="F2"/>
          <w:sz w:val="30"/>
          <w:szCs w:val="30"/>
          <w:lang w:val="en-US" w:eastAsia="zh-CN"/>
          <w14:textFill>
            <w14:solidFill>
              <w14:schemeClr w14:val="tx1">
                <w14:lumMod w14:val="95000"/>
                <w14:lumOff w14:val="5000"/>
              </w14:schemeClr>
            </w14:solidFill>
          </w14:textFill>
        </w:rPr>
        <w:t>八、违约责任</w:t>
      </w:r>
    </w:p>
    <w:p w14:paraId="22049E9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t>1.驻场监理人员应在项目实施过程中全程监理，每缺勤一日，处以100元的罚金。</w:t>
      </w:r>
    </w:p>
    <w:p w14:paraId="39B016D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t>2.中标人未经委托人书面同意，不得擅自更换项目负责人、驻场管理人员，违反处以500-1000元的罚金。</w:t>
      </w:r>
    </w:p>
    <w:p w14:paraId="2DA579D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t>3.中标人逾期提供服务的，每逾期一日，处以100元的罚金。逾期超过约定日期10个工作日的，直接解除合同。</w:t>
      </w:r>
    </w:p>
    <w:p w14:paraId="4C4AD478">
      <w:pPr>
        <w:keepNext w:val="0"/>
        <w:keepLines w:val="0"/>
        <w:pageBreakBefore w:val="0"/>
        <w:widowControl w:val="0"/>
        <w:kinsoku/>
        <w:wordWrap/>
        <w:overflowPunct/>
        <w:topLinePunct w:val="0"/>
        <w:autoSpaceDE/>
        <w:autoSpaceDN/>
        <w:bidi w:val="0"/>
        <w:adjustRightInd/>
        <w:snapToGrid/>
        <w:spacing w:line="520" w:lineRule="exact"/>
        <w:ind w:left="2738" w:leftChars="304" w:hanging="2100" w:hangingChars="700"/>
        <w:jc w:val="left"/>
        <w:textAlignment w:val="auto"/>
        <w:rPr>
          <w:rFonts w:hint="eastAsia" w:ascii="黑体" w:hAnsi="黑体" w:eastAsia="黑体" w:cs="黑体"/>
          <w:bCs/>
          <w:color w:val="0D0D0D" w:themeColor="text1" w:themeTint="F2"/>
          <w:sz w:val="30"/>
          <w:szCs w:val="30"/>
          <w:lang w:val="en-US" w:eastAsia="zh-CN"/>
          <w14:textFill>
            <w14:solidFill>
              <w14:schemeClr w14:val="tx1">
                <w14:lumMod w14:val="95000"/>
                <w14:lumOff w14:val="5000"/>
              </w14:schemeClr>
            </w14:solidFill>
          </w14:textFill>
        </w:rPr>
      </w:pPr>
      <w:r>
        <w:rPr>
          <w:rFonts w:hint="eastAsia" w:ascii="黑体" w:hAnsi="黑体" w:eastAsia="黑体" w:cs="黑体"/>
          <w:bCs/>
          <w:color w:val="0D0D0D" w:themeColor="text1" w:themeTint="F2"/>
          <w:sz w:val="30"/>
          <w:szCs w:val="30"/>
          <w:lang w:val="en-US" w:eastAsia="zh-CN"/>
          <w14:textFill>
            <w14:solidFill>
              <w14:schemeClr w14:val="tx1">
                <w14:lumMod w14:val="95000"/>
                <w14:lumOff w14:val="5000"/>
              </w14:schemeClr>
            </w14:solidFill>
          </w14:textFill>
        </w:rPr>
        <w:t>九、退出机制</w:t>
      </w:r>
    </w:p>
    <w:p w14:paraId="741EE45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t>在服务期内，若中标人出现以下情形之一的，则直接取消监理服务资格：</w:t>
      </w:r>
    </w:p>
    <w:p w14:paraId="3E8D604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t>1.在监理过程中发生违反国家法律法规、行业规定及明令禁止的违法行为。</w:t>
      </w:r>
    </w:p>
    <w:p w14:paraId="11117DE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t>2.驻场监理人员擅自脱岗或经常性缺岗。</w:t>
      </w:r>
    </w:p>
    <w:p w14:paraId="5BC1DB0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t>3.驻场监理人员违反职业道德，私自收受施工单位物品或接受施工单位宴请。</w:t>
      </w:r>
    </w:p>
    <w:p w14:paraId="7F07DCD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t>4.驻场监理人员专业技术水平不足，未能及时发现施工过程中的严重质量缺陷，造成重大经济损失或严重工期滞后等情形。</w:t>
      </w:r>
    </w:p>
    <w:p w14:paraId="41ACD94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t>5.与委托人配合态度消极，在施工过程中存在徇私舞弊，出现对施工材料的进场检验不严格、工程验收敷衍了事，工程变更和结算工程量审核严重脱离现实等情形。</w:t>
      </w:r>
    </w:p>
    <w:p w14:paraId="33D40B2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t>6.违反保密义务，擅自利用或对外发表或披露属于委托人的且无法自公开渠道获得的文件及资料。</w:t>
      </w:r>
    </w:p>
    <w:p w14:paraId="2FBEAF2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t>7.考核不合格。</w:t>
      </w:r>
    </w:p>
    <w:p w14:paraId="4BB96E47">
      <w:pPr>
        <w:keepNext w:val="0"/>
        <w:keepLines w:val="0"/>
        <w:pageBreakBefore w:val="0"/>
        <w:widowControl w:val="0"/>
        <w:kinsoku/>
        <w:wordWrap/>
        <w:overflowPunct/>
        <w:topLinePunct w:val="0"/>
        <w:autoSpaceDE/>
        <w:autoSpaceDN/>
        <w:bidi w:val="0"/>
        <w:adjustRightInd/>
        <w:snapToGrid/>
        <w:spacing w:line="520" w:lineRule="exact"/>
        <w:ind w:left="2738" w:leftChars="304" w:hanging="2100" w:hangingChars="700"/>
        <w:jc w:val="left"/>
        <w:textAlignment w:val="auto"/>
        <w:rPr>
          <w:rFonts w:hint="eastAsia" w:ascii="黑体" w:hAnsi="黑体" w:eastAsia="黑体" w:cs="黑体"/>
          <w:bCs/>
          <w:color w:val="0D0D0D" w:themeColor="text1" w:themeTint="F2"/>
          <w:sz w:val="30"/>
          <w:szCs w:val="30"/>
          <w:lang w:val="en-US" w:eastAsia="zh-CN"/>
          <w14:textFill>
            <w14:solidFill>
              <w14:schemeClr w14:val="tx1">
                <w14:lumMod w14:val="95000"/>
                <w14:lumOff w14:val="5000"/>
              </w14:schemeClr>
            </w14:solidFill>
          </w14:textFill>
        </w:rPr>
      </w:pPr>
      <w:r>
        <w:rPr>
          <w:rFonts w:hint="eastAsia" w:ascii="黑体" w:hAnsi="黑体" w:eastAsia="黑体" w:cs="黑体"/>
          <w:bCs/>
          <w:color w:val="0D0D0D" w:themeColor="text1" w:themeTint="F2"/>
          <w:sz w:val="30"/>
          <w:szCs w:val="30"/>
          <w:lang w:val="en-US" w:eastAsia="zh-CN"/>
          <w14:textFill>
            <w14:solidFill>
              <w14:schemeClr w14:val="tx1">
                <w14:lumMod w14:val="95000"/>
                <w14:lumOff w14:val="5000"/>
              </w14:schemeClr>
            </w14:solidFill>
          </w14:textFill>
        </w:rPr>
        <w:t>十、文件提交时间及地点</w:t>
      </w:r>
    </w:p>
    <w:p w14:paraId="5E0DA083">
      <w:pPr>
        <w:numPr>
          <w:ilvl w:val="0"/>
          <w:numId w:val="0"/>
        </w:numPr>
        <w:ind w:firstLine="560" w:firstLineChars="20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1.文件应装入档案袋密封，封条上须加盖投标人公章，文件由投标人送至接受地点并交采购人。</w:t>
      </w:r>
    </w:p>
    <w:p w14:paraId="0B7C3AF9">
      <w:pPr>
        <w:numPr>
          <w:ilvl w:val="0"/>
          <w:numId w:val="0"/>
        </w:numPr>
        <w:ind w:firstLine="560" w:firstLineChars="20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2.文件提交时间：2026年9月30日</w:t>
      </w:r>
      <w:r>
        <w:rPr>
          <w:rFonts w:hint="eastAsia" w:ascii="仿宋_GB2312" w:hAnsi="仿宋_GB2312" w:eastAsia="仿宋_GB2312" w:cs="仿宋_GB2312"/>
          <w:sz w:val="28"/>
          <w:szCs w:val="28"/>
          <w:highlight w:val="none"/>
          <w:lang w:val="en-US" w:eastAsia="zh-CN"/>
        </w:rPr>
        <w:t>（周三）10 :40时。</w:t>
      </w:r>
    </w:p>
    <w:p w14:paraId="1BA05AC7">
      <w:pPr>
        <w:numPr>
          <w:ilvl w:val="0"/>
          <w:numId w:val="0"/>
        </w:numPr>
        <w:ind w:firstLine="560" w:firstLineChars="20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3.文件接受地点：浙江省湖州市二环东路759号湖州师范大学东校区2号行政楼214室。</w:t>
      </w:r>
    </w:p>
    <w:p w14:paraId="5E5B7EE8">
      <w:pPr>
        <w:numPr>
          <w:ilvl w:val="0"/>
          <w:numId w:val="0"/>
        </w:numPr>
        <w:ind w:firstLine="560" w:firstLineChars="20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4.联系人：卢老师，联系电话：0572-2321597。  </w:t>
      </w:r>
    </w:p>
    <w:p w14:paraId="404BB51F">
      <w:pPr>
        <w:numPr>
          <w:ilvl w:val="0"/>
          <w:numId w:val="0"/>
        </w:numPr>
        <w:ind w:firstLine="280" w:firstLineChars="100"/>
        <w:jc w:val="left"/>
        <w:rPr>
          <w:rFonts w:hint="eastAsia" w:ascii="仿宋_GB2312" w:hAnsi="仿宋_GB2312" w:eastAsia="仿宋_GB2312" w:cs="仿宋_GB2312"/>
          <w:sz w:val="28"/>
          <w:szCs w:val="28"/>
          <w:lang w:val="en-US" w:eastAsia="zh-CN"/>
        </w:rPr>
      </w:pPr>
    </w:p>
    <w:p w14:paraId="46961E1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280" w:firstLineChars="1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                             湖州师范学院后勤服务中心</w:t>
      </w:r>
    </w:p>
    <w:p w14:paraId="4CCF8FF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320" w:firstLineChars="19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2026年9月22日</w:t>
      </w:r>
    </w:p>
    <w:p w14:paraId="376FE82D">
      <w:pPr>
        <w:spacing w:line="480" w:lineRule="exact"/>
        <w:jc w:val="both"/>
        <w:rPr>
          <w:rFonts w:hint="eastAsia" w:ascii="仿宋_GB2312" w:hAnsi="仿宋_GB2312" w:eastAsia="仿宋_GB2312" w:cs="仿宋_GB2312"/>
          <w:kern w:val="2"/>
          <w:sz w:val="28"/>
          <w:szCs w:val="28"/>
          <w:lang w:val="en-US" w:eastAsia="zh-CN" w:bidi="ar-SA"/>
        </w:rPr>
      </w:pPr>
    </w:p>
    <w:p w14:paraId="6C40B0A1">
      <w:pPr>
        <w:spacing w:line="480" w:lineRule="exact"/>
        <w:jc w:val="both"/>
        <w:rPr>
          <w:rFonts w:hint="eastAsia" w:ascii="黑体" w:hAnsi="黑体" w:eastAsia="黑体" w:cstheme="minorBidi"/>
          <w:kern w:val="2"/>
          <w:sz w:val="32"/>
          <w:szCs w:val="32"/>
          <w:lang w:val="en-US" w:eastAsia="zh-CN" w:bidi="ar-SA"/>
        </w:rPr>
      </w:pPr>
    </w:p>
    <w:p w14:paraId="6A88BFE3">
      <w:pPr>
        <w:spacing w:line="480" w:lineRule="exact"/>
        <w:jc w:val="both"/>
        <w:rPr>
          <w:rFonts w:hint="eastAsia" w:ascii="黑体" w:hAnsi="黑体" w:eastAsia="黑体" w:cstheme="minorBidi"/>
          <w:kern w:val="2"/>
          <w:sz w:val="32"/>
          <w:szCs w:val="32"/>
          <w:lang w:val="en-US" w:eastAsia="zh-CN" w:bidi="ar-SA"/>
        </w:rPr>
      </w:pPr>
    </w:p>
    <w:p w14:paraId="65C87934">
      <w:pPr>
        <w:spacing w:line="600" w:lineRule="exact"/>
        <w:rPr>
          <w:rFonts w:hint="default" w:ascii="仿宋_GB2312" w:hAnsi="仿宋_GB2312" w:eastAsia="仿宋_GB2312" w:cs="仿宋_GB2312"/>
          <w:sz w:val="32"/>
          <w:szCs w:val="32"/>
          <w:lang w:val="en-US" w:eastAsia="zh-CN"/>
        </w:rPr>
      </w:pPr>
    </w:p>
    <w:p w14:paraId="4D3C0D67">
      <w:pPr>
        <w:spacing w:line="600" w:lineRule="exact"/>
        <w:jc w:val="both"/>
        <w:rPr>
          <w:rFonts w:hint="eastAsia" w:ascii="方正小标宋简体" w:eastAsia="方正小标宋简体"/>
          <w:b/>
          <w:bCs/>
          <w:sz w:val="44"/>
          <w:szCs w:val="44"/>
        </w:rPr>
      </w:pPr>
    </w:p>
    <w:p w14:paraId="1F0F62B9">
      <w:pPr>
        <w:spacing w:line="600" w:lineRule="exact"/>
        <w:ind w:firstLine="2650" w:firstLineChars="600"/>
        <w:jc w:val="both"/>
        <w:rPr>
          <w:rFonts w:hint="eastAsia" w:ascii="方正小标宋简体" w:eastAsia="方正小标宋简体"/>
          <w:b/>
          <w:bCs/>
          <w:sz w:val="44"/>
          <w:szCs w:val="44"/>
        </w:rPr>
      </w:pPr>
      <w:r>
        <w:rPr>
          <w:rFonts w:hint="eastAsia" w:ascii="方正小标宋简体" w:eastAsia="方正小标宋简体"/>
          <w:b/>
          <w:bCs/>
          <w:sz w:val="44"/>
          <w:szCs w:val="44"/>
        </w:rPr>
        <w:t>合同主要条款</w:t>
      </w:r>
    </w:p>
    <w:p w14:paraId="5AAD8810">
      <w:pPr>
        <w:adjustRightInd w:val="0"/>
        <w:snapToGrid w:val="0"/>
        <w:spacing w:line="336" w:lineRule="auto"/>
        <w:rPr>
          <w:rFonts w:hint="eastAsia" w:ascii="宋体" w:hAnsi="宋体" w:cs="宋体"/>
          <w:bCs/>
        </w:rPr>
      </w:pPr>
    </w:p>
    <w:p w14:paraId="7D694D35">
      <w:pPr>
        <w:spacing w:line="52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甲方：湖州师范学院                   （以下简称甲方）</w:t>
      </w:r>
    </w:p>
    <w:p w14:paraId="75F3AECB">
      <w:pPr>
        <w:spacing w:line="52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乙方：</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 xml:space="preserve">               （以下简称乙方）</w:t>
      </w:r>
    </w:p>
    <w:p w14:paraId="23A0E01B">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根据维修改造项目监理服务单位遴选项目要求和乙方的承诺，甲、乙双方按照平等互利、诚实信用的原则，经友好协商，共同确定以下合同条款。</w:t>
      </w:r>
    </w:p>
    <w:p w14:paraId="22DC3301">
      <w:pPr>
        <w:spacing w:line="520" w:lineRule="exact"/>
        <w:ind w:firstLine="562" w:firstLineChars="200"/>
        <w:rPr>
          <w:rFonts w:hint="eastAsia" w:ascii="仿宋_GB2312" w:hAnsi="仿宋_GB2312" w:eastAsia="仿宋_GB2312" w:cs="仿宋_GB2312"/>
          <w:b/>
          <w:bCs/>
          <w:sz w:val="28"/>
          <w:szCs w:val="28"/>
          <w:lang w:val="en-GB"/>
        </w:rPr>
      </w:pPr>
      <w:r>
        <w:rPr>
          <w:rFonts w:hint="eastAsia" w:ascii="仿宋_GB2312" w:hAnsi="仿宋_GB2312" w:eastAsia="仿宋_GB2312" w:cs="仿宋_GB2312"/>
          <w:b/>
          <w:bCs/>
          <w:sz w:val="28"/>
          <w:szCs w:val="28"/>
          <w:lang w:val="en-GB"/>
        </w:rPr>
        <w:t>一、项目名称、</w:t>
      </w:r>
      <w:r>
        <w:rPr>
          <w:rFonts w:hint="eastAsia" w:ascii="仿宋_GB2312" w:hAnsi="仿宋_GB2312" w:eastAsia="仿宋_GB2312" w:cs="仿宋_GB2312"/>
          <w:b/>
          <w:bCs/>
          <w:sz w:val="28"/>
          <w:szCs w:val="28"/>
        </w:rPr>
        <w:t>合同总价</w:t>
      </w:r>
    </w:p>
    <w:p w14:paraId="62DD2328">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1.项目名称：维修改造项目监理服务单位遴选项目</w:t>
      </w:r>
    </w:p>
    <w:p w14:paraId="75E6F43B">
      <w:pPr>
        <w:ind w:firstLine="560" w:firstLineChars="200"/>
        <w:rPr>
          <w:rFonts w:hint="eastAsia" w:ascii="仿宋_GB2312" w:hAnsi="仿宋_GB2312" w:eastAsia="仿宋_GB2312" w:cs="仿宋_GB2312"/>
          <w:b/>
          <w:color w:val="auto"/>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val="en-US" w:eastAsia="zh-CN"/>
        </w:rPr>
        <w:t>监理费率</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。合同总价包含</w:t>
      </w:r>
      <w:r>
        <w:rPr>
          <w:rFonts w:hint="eastAsia" w:ascii="仿宋_GB2312" w:hAnsi="仿宋_GB2312" w:eastAsia="仿宋_GB2312" w:cs="仿宋_GB2312"/>
          <w:sz w:val="28"/>
          <w:szCs w:val="28"/>
          <w:lang w:val="en-US" w:eastAsia="zh-CN"/>
        </w:rPr>
        <w:t>监理、车辆、人工、税费、服务、验收等一切费用在内。</w:t>
      </w:r>
    </w:p>
    <w:p w14:paraId="7036455D">
      <w:pPr>
        <w:keepNext w:val="0"/>
        <w:keepLines w:val="0"/>
        <w:pageBreakBefore w:val="0"/>
        <w:widowControl w:val="0"/>
        <w:kinsoku/>
        <w:wordWrap/>
        <w:overflowPunct/>
        <w:topLinePunct w:val="0"/>
        <w:autoSpaceDE/>
        <w:autoSpaceDN/>
        <w:bidi w:val="0"/>
        <w:adjustRightInd/>
        <w:snapToGrid/>
        <w:spacing w:line="510" w:lineRule="exact"/>
        <w:ind w:firstLine="562" w:firstLineChars="200"/>
        <w:textAlignment w:val="auto"/>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二</w:t>
      </w:r>
      <w:r>
        <w:rPr>
          <w:rFonts w:hint="eastAsia" w:ascii="仿宋_GB2312" w:hAnsi="仿宋_GB2312" w:eastAsia="仿宋_GB2312" w:cs="仿宋_GB2312"/>
          <w:b/>
          <w:bCs/>
          <w:sz w:val="28"/>
          <w:szCs w:val="28"/>
        </w:rPr>
        <w:t>、</w:t>
      </w:r>
      <w:r>
        <w:rPr>
          <w:rFonts w:hint="eastAsia" w:ascii="仿宋_GB2312" w:hAnsi="仿宋_GB2312" w:eastAsia="仿宋_GB2312" w:cs="仿宋_GB2312"/>
          <w:b/>
          <w:bCs/>
          <w:sz w:val="28"/>
          <w:szCs w:val="28"/>
          <w:lang w:val="en-US" w:eastAsia="zh-CN"/>
        </w:rPr>
        <w:t>服务内容</w:t>
      </w:r>
    </w:p>
    <w:p w14:paraId="1ED9D29C">
      <w:pPr>
        <w:pStyle w:val="2"/>
        <w:keepNext w:val="0"/>
        <w:keepLines w:val="0"/>
        <w:pageBreakBefore w:val="0"/>
        <w:widowControl w:val="0"/>
        <w:kinsoku/>
        <w:wordWrap/>
        <w:overflowPunct/>
        <w:topLinePunct w:val="0"/>
        <w:autoSpaceDE/>
        <w:autoSpaceDN/>
        <w:bidi w:val="0"/>
        <w:adjustRightInd/>
        <w:snapToGrid/>
        <w:spacing w:after="0" w:line="520" w:lineRule="exact"/>
        <w:ind w:left="0" w:leftChars="0"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服务内容：后勤服务中心工程类维修改造项目所需监理服务。主要范围：单个维修改造合同金额在20万元（含）以上、100万元以下的项目；单个维修改造合同金额在20万元以下的项目，具体视项目工程施工难度确定监理服务，可参照执行。</w:t>
      </w:r>
    </w:p>
    <w:p w14:paraId="41870A90">
      <w:pPr>
        <w:pStyle w:val="2"/>
        <w:keepNext w:val="0"/>
        <w:keepLines w:val="0"/>
        <w:pageBreakBefore w:val="0"/>
        <w:widowControl w:val="0"/>
        <w:kinsoku/>
        <w:wordWrap/>
        <w:overflowPunct/>
        <w:topLinePunct w:val="0"/>
        <w:autoSpaceDE/>
        <w:autoSpaceDN/>
        <w:bidi w:val="0"/>
        <w:adjustRightInd/>
        <w:snapToGrid/>
        <w:spacing w:after="0" w:line="520" w:lineRule="exact"/>
        <w:ind w:left="0" w:leftChars="0" w:firstLine="562" w:firstLineChars="200"/>
        <w:textAlignment w:val="auto"/>
        <w:rPr>
          <w:rFonts w:hint="eastAsia" w:ascii="仿宋_GB2312" w:hAnsi="仿宋_GB2312" w:eastAsia="仿宋_GB2312" w:cs="仿宋_GB2312"/>
          <w:b/>
          <w:bCs/>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三、服务要求</w:t>
      </w:r>
    </w:p>
    <w:p w14:paraId="4C59DAFA">
      <w:pPr>
        <w:pStyle w:val="2"/>
        <w:keepNext w:val="0"/>
        <w:keepLines w:val="0"/>
        <w:pageBreakBefore w:val="0"/>
        <w:widowControl w:val="0"/>
        <w:kinsoku/>
        <w:wordWrap/>
        <w:overflowPunct/>
        <w:topLinePunct w:val="0"/>
        <w:autoSpaceDE/>
        <w:autoSpaceDN/>
        <w:bidi w:val="0"/>
        <w:adjustRightInd/>
        <w:snapToGrid/>
        <w:spacing w:after="0" w:line="520" w:lineRule="exact"/>
        <w:ind w:left="0" w:leftChars="0" w:firstLine="560" w:firstLineChars="20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1.中标人委派专人驻场管理，负责维修项目施工全过程质量控制、进度控制、投资控制、安全管理、合同履行、信息等管理和工作协调，协助项目验收。</w:t>
      </w:r>
    </w:p>
    <w:p w14:paraId="346C2B6C">
      <w:pPr>
        <w:pStyle w:val="2"/>
        <w:keepNext w:val="0"/>
        <w:keepLines w:val="0"/>
        <w:pageBreakBefore w:val="0"/>
        <w:widowControl w:val="0"/>
        <w:kinsoku/>
        <w:wordWrap/>
        <w:overflowPunct/>
        <w:topLinePunct w:val="0"/>
        <w:autoSpaceDE/>
        <w:autoSpaceDN/>
        <w:bidi w:val="0"/>
        <w:adjustRightInd/>
        <w:snapToGrid/>
        <w:spacing w:after="0" w:line="520" w:lineRule="exact"/>
        <w:ind w:left="0" w:leftChars="0" w:firstLine="560" w:firstLineChars="20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2.中标人应严格按《建设工程监理规范》（GB/T50319-2013）要求组织实施。</w:t>
      </w:r>
    </w:p>
    <w:p w14:paraId="1C0D2FB7">
      <w:pPr>
        <w:pStyle w:val="2"/>
        <w:keepNext w:val="0"/>
        <w:keepLines w:val="0"/>
        <w:pageBreakBefore w:val="0"/>
        <w:widowControl w:val="0"/>
        <w:kinsoku/>
        <w:wordWrap/>
        <w:overflowPunct/>
        <w:topLinePunct w:val="0"/>
        <w:autoSpaceDE/>
        <w:autoSpaceDN/>
        <w:bidi w:val="0"/>
        <w:adjustRightInd/>
        <w:snapToGrid/>
        <w:spacing w:after="0" w:line="520" w:lineRule="exact"/>
        <w:ind w:left="0" w:leftChars="0" w:firstLine="560" w:firstLineChars="20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3.每家中标人服务项目数不得超过本次服务期限内总项目数的二分之一。委托人按照中标人投标优惠率由高到低依次排序，按项目顺序轮流分配监理任务。</w:t>
      </w:r>
    </w:p>
    <w:p w14:paraId="123FA1E1">
      <w:pPr>
        <w:pStyle w:val="2"/>
        <w:keepNext w:val="0"/>
        <w:keepLines w:val="0"/>
        <w:pageBreakBefore w:val="0"/>
        <w:widowControl w:val="0"/>
        <w:kinsoku/>
        <w:wordWrap/>
        <w:overflowPunct/>
        <w:topLinePunct w:val="0"/>
        <w:autoSpaceDE/>
        <w:autoSpaceDN/>
        <w:bidi w:val="0"/>
        <w:adjustRightInd/>
        <w:snapToGrid/>
        <w:spacing w:after="0" w:line="520" w:lineRule="exact"/>
        <w:ind w:left="0" w:leftChars="0" w:firstLine="560" w:firstLineChars="20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4.中标人须接受委托人的考核管理。委托人将按照每个单项对监理服务进行考核，考核办法另行制定。</w:t>
      </w:r>
    </w:p>
    <w:p w14:paraId="7A8432AD">
      <w:pPr>
        <w:pStyle w:val="2"/>
        <w:keepNext w:val="0"/>
        <w:keepLines w:val="0"/>
        <w:pageBreakBefore w:val="0"/>
        <w:widowControl w:val="0"/>
        <w:kinsoku/>
        <w:wordWrap/>
        <w:overflowPunct/>
        <w:topLinePunct w:val="0"/>
        <w:autoSpaceDE/>
        <w:autoSpaceDN/>
        <w:bidi w:val="0"/>
        <w:adjustRightInd/>
        <w:snapToGrid/>
        <w:spacing w:after="0" w:line="520" w:lineRule="exact"/>
        <w:ind w:left="0" w:leftChars="0" w:firstLine="562" w:firstLineChars="200"/>
        <w:textAlignment w:val="auto"/>
        <w:rPr>
          <w:rFonts w:hint="default" w:ascii="仿宋_GB2312" w:hAnsi="仿宋_GB2312" w:eastAsia="仿宋_GB2312" w:cs="仿宋_GB2312"/>
          <w:b/>
          <w:bCs/>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四、合同期限</w:t>
      </w:r>
    </w:p>
    <w:p w14:paraId="534C6825">
      <w:pPr>
        <w:pStyle w:val="2"/>
        <w:keepNext w:val="0"/>
        <w:keepLines w:val="0"/>
        <w:pageBreakBefore w:val="0"/>
        <w:widowControl w:val="0"/>
        <w:kinsoku/>
        <w:wordWrap/>
        <w:overflowPunct/>
        <w:topLinePunct w:val="0"/>
        <w:autoSpaceDE/>
        <w:autoSpaceDN/>
        <w:bidi w:val="0"/>
        <w:adjustRightInd/>
        <w:snapToGrid/>
        <w:spacing w:after="0" w:line="520" w:lineRule="exact"/>
        <w:ind w:left="0" w:leftChars="0" w:firstLine="560" w:firstLineChars="200"/>
        <w:textAlignment w:val="auto"/>
        <w:rPr>
          <w:rFonts w:hint="eastAsia" w:ascii="仿宋_GB2312" w:hAnsi="仿宋_GB2312" w:eastAsia="仿宋_GB2312" w:cs="仿宋_GB2312"/>
          <w:color w:val="0C0C0C"/>
          <w:sz w:val="32"/>
          <w:szCs w:val="32"/>
          <w:lang w:val="en-US" w:eastAsia="zh-CN"/>
        </w:rPr>
      </w:pPr>
      <w:r>
        <w:rPr>
          <w:rFonts w:hint="eastAsia" w:ascii="仿宋_GB2312" w:hAnsi="仿宋_GB2312" w:eastAsia="仿宋_GB2312" w:cs="仿宋_GB2312"/>
          <w:color w:val="auto"/>
          <w:sz w:val="28"/>
          <w:szCs w:val="28"/>
          <w:lang w:val="en-US" w:eastAsia="zh-CN"/>
        </w:rPr>
        <w:t>合同期限</w:t>
      </w:r>
      <w:r>
        <w:rPr>
          <w:rFonts w:hint="eastAsia" w:ascii="仿宋_GB2312" w:hAnsi="仿宋_GB2312" w:eastAsia="仿宋_GB2312" w:cs="仿宋_GB2312"/>
          <w:color w:val="auto"/>
          <w:kern w:val="2"/>
          <w:sz w:val="28"/>
          <w:szCs w:val="28"/>
          <w:lang w:val="en-US" w:eastAsia="zh-CN" w:bidi="ar-SA"/>
        </w:rPr>
        <w:t>：合同签订之日起至2027年12月31日。</w:t>
      </w:r>
    </w:p>
    <w:p w14:paraId="1C86108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2" w:firstLineChars="200"/>
        <w:textAlignment w:val="auto"/>
        <w:rPr>
          <w:rFonts w:hint="eastAsia" w:ascii="仿宋_GB2312" w:hAnsi="仿宋_GB2312" w:eastAsia="仿宋_GB2312" w:cs="仿宋_GB2312"/>
          <w:b/>
          <w:bCs/>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五、付款方式</w:t>
      </w:r>
    </w:p>
    <w:p w14:paraId="07653CA4">
      <w:pPr>
        <w:pStyle w:val="2"/>
        <w:keepNext w:val="0"/>
        <w:keepLines w:val="0"/>
        <w:pageBreakBefore w:val="0"/>
        <w:widowControl w:val="0"/>
        <w:kinsoku/>
        <w:wordWrap/>
        <w:overflowPunct/>
        <w:topLinePunct w:val="0"/>
        <w:autoSpaceDE/>
        <w:autoSpaceDN/>
        <w:bidi w:val="0"/>
        <w:adjustRightInd/>
        <w:snapToGrid/>
        <w:spacing w:after="0" w:line="520" w:lineRule="exact"/>
        <w:ind w:left="0" w:leftChars="0" w:firstLine="560" w:firstLineChars="200"/>
        <w:textAlignment w:val="auto"/>
        <w:rPr>
          <w:rFonts w:hint="default" w:ascii="仿宋_GB2312" w:hAnsi="仿宋_GB2312" w:eastAsia="仿宋_GB2312" w:cs="仿宋_GB2312"/>
          <w:b w:val="0"/>
          <w:bCs w:val="0"/>
          <w:color w:val="auto"/>
          <w:kern w:val="2"/>
          <w:sz w:val="28"/>
          <w:szCs w:val="28"/>
          <w:highlight w:val="none"/>
          <w:lang w:val="en-US" w:eastAsia="zh-CN" w:bidi="ar-SA"/>
        </w:rPr>
      </w:pPr>
      <w:r>
        <w:rPr>
          <w:rFonts w:hint="eastAsia" w:ascii="仿宋_GB2312" w:hAnsi="仿宋_GB2312" w:eastAsia="仿宋_GB2312" w:cs="仿宋_GB2312"/>
          <w:b w:val="0"/>
          <w:bCs w:val="0"/>
          <w:color w:val="auto"/>
          <w:kern w:val="2"/>
          <w:sz w:val="28"/>
          <w:szCs w:val="28"/>
          <w:highlight w:val="none"/>
          <w:lang w:val="en-US" w:eastAsia="zh-CN" w:bidi="ar-SA"/>
        </w:rPr>
        <w:t>协助工程项目实施完毕并通过验收后一次性支付监理费。</w:t>
      </w:r>
    </w:p>
    <w:p w14:paraId="3E8ED45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2" w:firstLineChars="200"/>
        <w:textAlignment w:val="auto"/>
        <w:rPr>
          <w:rFonts w:hint="eastAsia" w:ascii="仿宋_GB2312" w:hAnsi="仿宋_GB2312" w:eastAsia="仿宋_GB2312" w:cs="仿宋_GB2312"/>
          <w:b/>
          <w:bCs/>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六、保密条款</w:t>
      </w:r>
    </w:p>
    <w:p w14:paraId="3556C509">
      <w:pPr>
        <w:keepNext w:val="0"/>
        <w:keepLines w:val="0"/>
        <w:pageBreakBefore w:val="0"/>
        <w:widowControl/>
        <w:shd w:val="clear" w:color="auto" w:fill="FFFFFF"/>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乙方对履行合同过程中所获悉的属于甲方的且无法自公开渠道获得的文件及资料，应负保密义务，未经甲方书面同意，不得擅自利用或对外发表或披露。违反前述约定的，乙方应向中心支付违约金5000元；违约金不足以弥补甲方损失的，乙方还应负责赔偿。保密期限自乙方接收或知悉中心信息资料之日起至该信息资料公开之日或甲方解除乙方保密义务之日止。</w:t>
      </w:r>
    </w:p>
    <w:p w14:paraId="3D05E4C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2" w:firstLineChars="200"/>
        <w:textAlignment w:val="auto"/>
        <w:rPr>
          <w:rFonts w:hint="default" w:ascii="仿宋_GB2312" w:hAnsi="仿宋_GB2312" w:eastAsia="仿宋_GB2312" w:cs="仿宋_GB2312"/>
          <w:b/>
          <w:bCs/>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七、退出机制与违约责任</w:t>
      </w:r>
    </w:p>
    <w:p w14:paraId="609C20BA">
      <w:pPr>
        <w:keepNext w:val="0"/>
        <w:keepLines w:val="0"/>
        <w:pageBreakBefore w:val="0"/>
        <w:widowControl w:val="0"/>
        <w:tabs>
          <w:tab w:val="left" w:pos="743"/>
        </w:tabs>
        <w:kinsoku/>
        <w:wordWrap/>
        <w:overflowPunct/>
        <w:topLinePunct w:val="0"/>
        <w:autoSpaceDE/>
        <w:autoSpaceDN/>
        <w:bidi w:val="0"/>
        <w:adjustRightInd/>
        <w:snapToGrid/>
        <w:spacing w:line="520" w:lineRule="exact"/>
        <w:ind w:firstLine="643" w:firstLineChars="200"/>
        <w:jc w:val="left"/>
        <w:textAlignment w:val="auto"/>
        <w:rPr>
          <w:rFonts w:hint="eastAsia" w:ascii="楷体_GB2312" w:hAnsi="楷体_GB2312" w:eastAsia="楷体_GB2312" w:cs="楷体_GB2312"/>
          <w:b/>
          <w:bCs/>
          <w:color w:val="0C0C0C"/>
          <w:kern w:val="2"/>
          <w:sz w:val="32"/>
          <w:szCs w:val="32"/>
          <w:lang w:val="en-US" w:eastAsia="zh-CN" w:bidi="ar-SA"/>
        </w:rPr>
      </w:pPr>
      <w:r>
        <w:rPr>
          <w:rFonts w:hint="eastAsia" w:ascii="楷体_GB2312" w:hAnsi="楷体_GB2312" w:eastAsia="楷体_GB2312" w:cs="楷体_GB2312"/>
          <w:b/>
          <w:bCs/>
          <w:color w:val="0C0C0C"/>
          <w:kern w:val="2"/>
          <w:sz w:val="32"/>
          <w:szCs w:val="32"/>
          <w:lang w:val="en-US" w:eastAsia="zh-CN" w:bidi="ar-SA"/>
        </w:rPr>
        <w:tab/>
      </w:r>
      <w:r>
        <w:rPr>
          <w:rFonts w:hint="eastAsia" w:ascii="仿宋_GB2312" w:hAnsi="仿宋_GB2312" w:eastAsia="仿宋_GB2312" w:cs="仿宋_GB2312"/>
          <w:b/>
          <w:bCs/>
          <w:color w:val="auto"/>
          <w:kern w:val="2"/>
          <w:sz w:val="28"/>
          <w:szCs w:val="28"/>
          <w:lang w:val="en-US" w:eastAsia="zh-CN" w:bidi="ar-SA"/>
        </w:rPr>
        <w:t>（一）退出机制</w:t>
      </w:r>
    </w:p>
    <w:p w14:paraId="6333EE0D">
      <w:pPr>
        <w:keepNext w:val="0"/>
        <w:keepLines w:val="0"/>
        <w:pageBreakBefore w:val="0"/>
        <w:widowControl w:val="0"/>
        <w:tabs>
          <w:tab w:val="left" w:pos="743"/>
        </w:tabs>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color w:val="0C0C0C"/>
          <w:kern w:val="2"/>
          <w:sz w:val="28"/>
          <w:szCs w:val="28"/>
          <w:lang w:val="en-US" w:eastAsia="zh-CN" w:bidi="ar-SA"/>
        </w:rPr>
      </w:pPr>
      <w:r>
        <w:rPr>
          <w:rFonts w:hint="eastAsia" w:ascii="仿宋_GB2312" w:hAnsi="仿宋_GB2312" w:eastAsia="仿宋_GB2312" w:cs="仿宋_GB2312"/>
          <w:color w:val="0C0C0C"/>
          <w:kern w:val="2"/>
          <w:sz w:val="28"/>
          <w:szCs w:val="28"/>
          <w:lang w:val="en-US" w:eastAsia="zh-CN" w:bidi="ar-SA"/>
        </w:rPr>
        <w:t>在服务期内，若中标人出现以下情形之一的，则直接取消监理服务资格：</w:t>
      </w:r>
    </w:p>
    <w:p w14:paraId="62921032">
      <w:pPr>
        <w:keepNext w:val="0"/>
        <w:keepLines w:val="0"/>
        <w:pageBreakBefore w:val="0"/>
        <w:widowControl w:val="0"/>
        <w:tabs>
          <w:tab w:val="left" w:pos="743"/>
        </w:tabs>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color w:val="0C0C0C"/>
          <w:kern w:val="2"/>
          <w:sz w:val="28"/>
          <w:szCs w:val="28"/>
          <w:lang w:val="en-US" w:eastAsia="zh-CN" w:bidi="ar-SA"/>
        </w:rPr>
      </w:pPr>
      <w:r>
        <w:rPr>
          <w:rFonts w:hint="eastAsia" w:ascii="仿宋_GB2312" w:hAnsi="仿宋_GB2312" w:eastAsia="仿宋_GB2312" w:cs="仿宋_GB2312"/>
          <w:color w:val="0C0C0C"/>
          <w:kern w:val="2"/>
          <w:sz w:val="28"/>
          <w:szCs w:val="28"/>
          <w:lang w:val="en-US" w:eastAsia="zh-CN" w:bidi="ar-SA"/>
        </w:rPr>
        <w:t>1.在监理过程中发生违反国家法律法规、行业规定及明令禁止的违法行为。</w:t>
      </w:r>
    </w:p>
    <w:p w14:paraId="01848B5E">
      <w:pPr>
        <w:keepNext w:val="0"/>
        <w:keepLines w:val="0"/>
        <w:pageBreakBefore w:val="0"/>
        <w:widowControl w:val="0"/>
        <w:tabs>
          <w:tab w:val="left" w:pos="743"/>
        </w:tabs>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color w:val="0C0C0C"/>
          <w:kern w:val="2"/>
          <w:sz w:val="28"/>
          <w:szCs w:val="28"/>
          <w:lang w:val="en-US" w:eastAsia="zh-CN" w:bidi="ar-SA"/>
        </w:rPr>
      </w:pPr>
      <w:r>
        <w:rPr>
          <w:rFonts w:hint="eastAsia" w:ascii="仿宋_GB2312" w:hAnsi="仿宋_GB2312" w:eastAsia="仿宋_GB2312" w:cs="仿宋_GB2312"/>
          <w:color w:val="0C0C0C"/>
          <w:kern w:val="2"/>
          <w:sz w:val="28"/>
          <w:szCs w:val="28"/>
          <w:lang w:val="en-US" w:eastAsia="zh-CN" w:bidi="ar-SA"/>
        </w:rPr>
        <w:t>2.驻场监理人员擅自脱岗或经常性缺岗。</w:t>
      </w:r>
    </w:p>
    <w:p w14:paraId="0C9AAD0F">
      <w:pPr>
        <w:keepNext w:val="0"/>
        <w:keepLines w:val="0"/>
        <w:pageBreakBefore w:val="0"/>
        <w:widowControl w:val="0"/>
        <w:tabs>
          <w:tab w:val="left" w:pos="743"/>
        </w:tabs>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color w:val="0C0C0C"/>
          <w:kern w:val="2"/>
          <w:sz w:val="28"/>
          <w:szCs w:val="28"/>
          <w:lang w:val="en-US" w:eastAsia="zh-CN" w:bidi="ar-SA"/>
        </w:rPr>
      </w:pPr>
      <w:r>
        <w:rPr>
          <w:rFonts w:hint="eastAsia" w:ascii="仿宋_GB2312" w:hAnsi="仿宋_GB2312" w:eastAsia="仿宋_GB2312" w:cs="仿宋_GB2312"/>
          <w:color w:val="0C0C0C"/>
          <w:kern w:val="2"/>
          <w:sz w:val="28"/>
          <w:szCs w:val="28"/>
          <w:lang w:val="en-US" w:eastAsia="zh-CN" w:bidi="ar-SA"/>
        </w:rPr>
        <w:t>3.驻场监理人员违反职业道德，私自收受施工单位物品或接受施工单位宴请。</w:t>
      </w:r>
    </w:p>
    <w:p w14:paraId="04CAE7A3">
      <w:pPr>
        <w:keepNext w:val="0"/>
        <w:keepLines w:val="0"/>
        <w:pageBreakBefore w:val="0"/>
        <w:widowControl w:val="0"/>
        <w:tabs>
          <w:tab w:val="left" w:pos="743"/>
        </w:tabs>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color w:val="0C0C0C"/>
          <w:kern w:val="2"/>
          <w:sz w:val="28"/>
          <w:szCs w:val="28"/>
          <w:lang w:val="en-US" w:eastAsia="zh-CN" w:bidi="ar-SA"/>
        </w:rPr>
      </w:pPr>
      <w:r>
        <w:rPr>
          <w:rFonts w:hint="eastAsia" w:ascii="仿宋_GB2312" w:hAnsi="仿宋_GB2312" w:eastAsia="仿宋_GB2312" w:cs="仿宋_GB2312"/>
          <w:color w:val="0C0C0C"/>
          <w:kern w:val="2"/>
          <w:sz w:val="28"/>
          <w:szCs w:val="28"/>
          <w:lang w:val="en-US" w:eastAsia="zh-CN" w:bidi="ar-SA"/>
        </w:rPr>
        <w:t>4.驻场监理人员专业技术水平不足，未能及时发现施工过程中的严重质量缺陷，造成重大经济损失或严重工期滞后等情形。</w:t>
      </w:r>
    </w:p>
    <w:p w14:paraId="0144DEA8">
      <w:pPr>
        <w:keepNext w:val="0"/>
        <w:keepLines w:val="0"/>
        <w:pageBreakBefore w:val="0"/>
        <w:widowControl w:val="0"/>
        <w:tabs>
          <w:tab w:val="left" w:pos="743"/>
        </w:tabs>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color w:val="0C0C0C"/>
          <w:kern w:val="2"/>
          <w:sz w:val="28"/>
          <w:szCs w:val="28"/>
          <w:lang w:val="en-US" w:eastAsia="zh-CN" w:bidi="ar-SA"/>
        </w:rPr>
      </w:pPr>
      <w:r>
        <w:rPr>
          <w:rFonts w:hint="eastAsia" w:ascii="仿宋_GB2312" w:hAnsi="仿宋_GB2312" w:eastAsia="仿宋_GB2312" w:cs="仿宋_GB2312"/>
          <w:color w:val="0C0C0C"/>
          <w:kern w:val="2"/>
          <w:sz w:val="28"/>
          <w:szCs w:val="28"/>
          <w:lang w:val="en-US" w:eastAsia="zh-CN" w:bidi="ar-SA"/>
        </w:rPr>
        <w:t>5.与委托人配合态度消极，在施工过程中存在徇私舞弊，出现对施工材料的进场检验不严格、工程验收敷衍了事，工程变更和结算工程量审核严重脱离现实等情形。</w:t>
      </w:r>
    </w:p>
    <w:p w14:paraId="21F6966C">
      <w:pPr>
        <w:keepNext w:val="0"/>
        <w:keepLines w:val="0"/>
        <w:pageBreakBefore w:val="0"/>
        <w:widowControl w:val="0"/>
        <w:tabs>
          <w:tab w:val="left" w:pos="743"/>
        </w:tabs>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color w:val="0C0C0C"/>
          <w:kern w:val="2"/>
          <w:sz w:val="28"/>
          <w:szCs w:val="28"/>
          <w:lang w:val="en-US" w:eastAsia="zh-CN" w:bidi="ar-SA"/>
        </w:rPr>
      </w:pPr>
      <w:r>
        <w:rPr>
          <w:rFonts w:hint="eastAsia" w:ascii="仿宋_GB2312" w:hAnsi="仿宋_GB2312" w:eastAsia="仿宋_GB2312" w:cs="仿宋_GB2312"/>
          <w:color w:val="0C0C0C"/>
          <w:kern w:val="2"/>
          <w:sz w:val="28"/>
          <w:szCs w:val="28"/>
          <w:lang w:val="en-US" w:eastAsia="zh-CN" w:bidi="ar-SA"/>
        </w:rPr>
        <w:t>6.违反保密义务，擅自利用或对外发表或披露属于委托人的且无法自公开渠道获得的文件及资料。</w:t>
      </w:r>
    </w:p>
    <w:p w14:paraId="591CB8D6">
      <w:pPr>
        <w:keepNext w:val="0"/>
        <w:keepLines w:val="0"/>
        <w:pageBreakBefore w:val="0"/>
        <w:widowControl w:val="0"/>
        <w:tabs>
          <w:tab w:val="left" w:pos="743"/>
        </w:tabs>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color w:val="0C0C0C"/>
          <w:kern w:val="2"/>
          <w:sz w:val="28"/>
          <w:szCs w:val="28"/>
          <w:lang w:val="en-US" w:eastAsia="zh-CN" w:bidi="ar-SA"/>
        </w:rPr>
      </w:pPr>
      <w:r>
        <w:rPr>
          <w:rFonts w:hint="eastAsia" w:ascii="仿宋_GB2312" w:hAnsi="仿宋_GB2312" w:eastAsia="仿宋_GB2312" w:cs="仿宋_GB2312"/>
          <w:color w:val="0C0C0C"/>
          <w:kern w:val="2"/>
          <w:sz w:val="28"/>
          <w:szCs w:val="28"/>
          <w:lang w:val="en-US" w:eastAsia="zh-CN" w:bidi="ar-SA"/>
        </w:rPr>
        <w:t>7.考核不合格。</w:t>
      </w:r>
    </w:p>
    <w:p w14:paraId="45DF2150">
      <w:pPr>
        <w:keepNext w:val="0"/>
        <w:keepLines w:val="0"/>
        <w:pageBreakBefore w:val="0"/>
        <w:widowControl w:val="0"/>
        <w:tabs>
          <w:tab w:val="left" w:pos="743"/>
        </w:tabs>
        <w:kinsoku/>
        <w:wordWrap/>
        <w:overflowPunct/>
        <w:topLinePunct w:val="0"/>
        <w:autoSpaceDE/>
        <w:autoSpaceDN/>
        <w:bidi w:val="0"/>
        <w:adjustRightInd/>
        <w:snapToGrid/>
        <w:spacing w:line="520" w:lineRule="exact"/>
        <w:ind w:firstLine="562" w:firstLineChars="200"/>
        <w:jc w:val="left"/>
        <w:textAlignment w:val="auto"/>
        <w:rPr>
          <w:rFonts w:hint="eastAsia" w:ascii="仿宋_GB2312" w:hAnsi="仿宋_GB2312" w:eastAsia="仿宋_GB2312" w:cs="仿宋_GB2312"/>
          <w:color w:val="0C0C0C"/>
          <w:kern w:val="2"/>
          <w:sz w:val="28"/>
          <w:szCs w:val="28"/>
          <w:lang w:val="en-US" w:eastAsia="zh-CN" w:bidi="ar-SA"/>
        </w:rPr>
      </w:pPr>
      <w:r>
        <w:rPr>
          <w:rFonts w:hint="eastAsia" w:ascii="楷体_GB2312" w:hAnsi="楷体_GB2312" w:eastAsia="楷体_GB2312" w:cs="楷体_GB2312"/>
          <w:b/>
          <w:bCs/>
          <w:color w:val="0C0C0C"/>
          <w:kern w:val="2"/>
          <w:sz w:val="28"/>
          <w:szCs w:val="28"/>
          <w:lang w:val="en-US" w:eastAsia="zh-CN" w:bidi="ar-SA"/>
        </w:rPr>
        <w:t>（二）违约责任</w:t>
      </w:r>
    </w:p>
    <w:p w14:paraId="178F3213">
      <w:pPr>
        <w:spacing w:line="520" w:lineRule="exact"/>
        <w:ind w:firstLine="560" w:firstLineChars="200"/>
        <w:rPr>
          <w:rFonts w:hint="eastAsia" w:ascii="仿宋_GB2312" w:hAnsi="仿宋_GB2312" w:eastAsia="仿宋_GB2312" w:cs="仿宋_GB2312"/>
          <w:color w:val="0C0C0C"/>
          <w:kern w:val="2"/>
          <w:sz w:val="28"/>
          <w:szCs w:val="28"/>
          <w:lang w:val="en-US" w:eastAsia="zh-CN" w:bidi="ar-SA"/>
        </w:rPr>
      </w:pPr>
      <w:r>
        <w:rPr>
          <w:rFonts w:hint="eastAsia" w:ascii="仿宋_GB2312" w:hAnsi="仿宋_GB2312" w:eastAsia="仿宋_GB2312" w:cs="仿宋_GB2312"/>
          <w:color w:val="0C0C0C"/>
          <w:kern w:val="2"/>
          <w:sz w:val="28"/>
          <w:szCs w:val="28"/>
          <w:lang w:val="en-US" w:eastAsia="zh-CN" w:bidi="ar-SA"/>
        </w:rPr>
        <w:t>1.驻场监理人员应在项目实施过程中全程监理，每缺勤一日，处以100元的罚金。</w:t>
      </w:r>
    </w:p>
    <w:p w14:paraId="600BBFAA">
      <w:pPr>
        <w:spacing w:line="520" w:lineRule="exact"/>
        <w:ind w:firstLine="560" w:firstLineChars="200"/>
        <w:rPr>
          <w:rFonts w:hint="eastAsia" w:ascii="仿宋_GB2312" w:hAnsi="仿宋_GB2312" w:eastAsia="仿宋_GB2312" w:cs="仿宋_GB2312"/>
          <w:color w:val="0C0C0C"/>
          <w:kern w:val="2"/>
          <w:sz w:val="28"/>
          <w:szCs w:val="28"/>
          <w:lang w:val="en-US" w:eastAsia="zh-CN" w:bidi="ar-SA"/>
        </w:rPr>
      </w:pPr>
      <w:r>
        <w:rPr>
          <w:rFonts w:hint="eastAsia" w:ascii="仿宋_GB2312" w:hAnsi="仿宋_GB2312" w:eastAsia="仿宋_GB2312" w:cs="仿宋_GB2312"/>
          <w:color w:val="0C0C0C"/>
          <w:kern w:val="2"/>
          <w:sz w:val="28"/>
          <w:szCs w:val="28"/>
          <w:lang w:val="en-US" w:eastAsia="zh-CN" w:bidi="ar-SA"/>
        </w:rPr>
        <w:t>2.中标人未经委托人书面同意，不得擅自更换项目负责人、驻场管理人员，违反处以500-1000元的罚金。</w:t>
      </w:r>
    </w:p>
    <w:p w14:paraId="234F8FCD">
      <w:pPr>
        <w:spacing w:line="520" w:lineRule="exact"/>
        <w:ind w:firstLine="560" w:firstLineChars="200"/>
        <w:rPr>
          <w:rFonts w:hint="eastAsia" w:ascii="仿宋_GB2312" w:hAnsi="仿宋_GB2312" w:eastAsia="仿宋_GB2312" w:cs="仿宋_GB2312"/>
          <w:color w:val="0C0C0C"/>
          <w:kern w:val="2"/>
          <w:sz w:val="28"/>
          <w:szCs w:val="28"/>
          <w:lang w:val="en-US" w:eastAsia="zh-CN" w:bidi="ar-SA"/>
        </w:rPr>
      </w:pPr>
      <w:r>
        <w:rPr>
          <w:rFonts w:hint="eastAsia" w:ascii="仿宋_GB2312" w:hAnsi="仿宋_GB2312" w:eastAsia="仿宋_GB2312" w:cs="仿宋_GB2312"/>
          <w:color w:val="0C0C0C"/>
          <w:kern w:val="2"/>
          <w:sz w:val="28"/>
          <w:szCs w:val="28"/>
          <w:lang w:val="en-US" w:eastAsia="zh-CN" w:bidi="ar-SA"/>
        </w:rPr>
        <w:t>3.中标人逾期提供服务的，每逾期一日，处以100元的罚金。逾期超过约定日期10个工作日的，直接解除合同。</w:t>
      </w:r>
    </w:p>
    <w:p w14:paraId="6F94BCF5">
      <w:pPr>
        <w:spacing w:line="520" w:lineRule="exact"/>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九</w:t>
      </w:r>
      <w:r>
        <w:rPr>
          <w:rFonts w:hint="eastAsia" w:ascii="仿宋_GB2312" w:hAnsi="仿宋_GB2312" w:eastAsia="仿宋_GB2312" w:cs="仿宋_GB2312"/>
          <w:b/>
          <w:bCs/>
          <w:sz w:val="28"/>
          <w:szCs w:val="28"/>
        </w:rPr>
        <w:t>、双方责任</w:t>
      </w:r>
    </w:p>
    <w:p w14:paraId="5D634CD7">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1.乙方负责本项目的管理人员、清洁人员、实施人员等均符合询价文件及甲方的要求，以确保服务质量。</w:t>
      </w:r>
    </w:p>
    <w:p w14:paraId="2FA89CE8">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2..乙方服务时，应做好安全防范措施。因乙方原因造成人员及财产损失的，由乙方负全部责任。</w:t>
      </w:r>
    </w:p>
    <w:p w14:paraId="42F53AB5">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3.乙方如未在甲方要求时间范围内完成符合甲方要求的清洁服务工作，甲方有权终止合同，并拒付本次费用。</w:t>
      </w:r>
    </w:p>
    <w:p w14:paraId="2C65A9B5">
      <w:pPr>
        <w:spacing w:line="520" w:lineRule="exact"/>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十</w:t>
      </w:r>
      <w:r>
        <w:rPr>
          <w:rFonts w:hint="eastAsia" w:ascii="仿宋_GB2312" w:hAnsi="仿宋_GB2312" w:eastAsia="仿宋_GB2312" w:cs="仿宋_GB2312"/>
          <w:b/>
          <w:bCs/>
          <w:sz w:val="28"/>
          <w:szCs w:val="28"/>
        </w:rPr>
        <w:t>、争议解决</w:t>
      </w:r>
    </w:p>
    <w:p w14:paraId="2A5969CE">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1.本合同的订立、解释、履行及争议解决，均适用中华人民共和国法律。</w:t>
      </w:r>
    </w:p>
    <w:p w14:paraId="451CDDF2">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2.本合同履行过程中发生争议的，甲乙双方应友好协商；协商不成的，任何一方可向甲方所在地人民法院起诉。</w:t>
      </w:r>
    </w:p>
    <w:p w14:paraId="2820F14F">
      <w:pPr>
        <w:spacing w:line="520" w:lineRule="exact"/>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十一</w:t>
      </w:r>
      <w:r>
        <w:rPr>
          <w:rFonts w:hint="eastAsia" w:ascii="仿宋_GB2312" w:hAnsi="仿宋_GB2312" w:eastAsia="仿宋_GB2312" w:cs="仿宋_GB2312"/>
          <w:b/>
          <w:bCs/>
          <w:sz w:val="28"/>
          <w:szCs w:val="28"/>
        </w:rPr>
        <w:t>、合同生效及其他</w:t>
      </w:r>
    </w:p>
    <w:p w14:paraId="6C647B4B">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1.本合同经甲乙双方加盖公章后生效。合同内容如遇国家法律、法规及政策另有规定的，从其规定。</w:t>
      </w:r>
    </w:p>
    <w:p w14:paraId="5FDF3555">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2.本合同一式伍份，甲方执肆份，乙方执壹份，具有同等法律效力。</w:t>
      </w:r>
    </w:p>
    <w:p w14:paraId="21D9C2ED">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（以下无正文）</w:t>
      </w:r>
    </w:p>
    <w:p w14:paraId="1AE121D1">
      <w:pPr>
        <w:spacing w:line="52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甲方                           乙方</w:t>
      </w:r>
    </w:p>
    <w:p w14:paraId="1BAF2AFF">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湖州师范学院                    </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 xml:space="preserve">                     </w:t>
      </w:r>
    </w:p>
    <w:p w14:paraId="2B48C33E">
      <w:pPr>
        <w:spacing w:line="520" w:lineRule="exact"/>
        <w:ind w:left="6798" w:leftChars="304" w:hanging="6160" w:hangingChars="2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法定代表人或代表</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 xml:space="preserve">   法定代表人或代表</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xml:space="preserve"> </w:t>
      </w:r>
    </w:p>
    <w:p w14:paraId="58EC6B78">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地址：浙江省湖州市             地址：</w:t>
      </w:r>
    </w:p>
    <w:p w14:paraId="3831239C">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二环东路759号  </w:t>
      </w:r>
    </w:p>
    <w:p w14:paraId="17A170EB">
      <w:pPr>
        <w:spacing w:line="52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电话：                         电话：                          </w:t>
      </w:r>
    </w:p>
    <w:p w14:paraId="7418C93A">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邮编：313000                   邮编：</w:t>
      </w:r>
    </w:p>
    <w:p w14:paraId="688C29F0">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开户银行：建行吴兴支行         开户银行：</w:t>
      </w:r>
    </w:p>
    <w:p w14:paraId="550E7422">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银行账号：33001649335050002860 银行账号：</w:t>
      </w:r>
    </w:p>
    <w:p w14:paraId="6FF40636">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统一社会信用代码：            统一社会信用代码：</w:t>
      </w:r>
    </w:p>
    <w:p w14:paraId="0D5AD147">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123305004711725032                 </w:t>
      </w:r>
    </w:p>
    <w:p w14:paraId="623796C6">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联系人：                       联系人：</w:t>
      </w:r>
    </w:p>
    <w:p w14:paraId="45893AC6">
      <w:pPr>
        <w:spacing w:line="520" w:lineRule="exact"/>
        <w:ind w:left="4558" w:leftChars="304" w:hanging="3920" w:hangingChars="1400"/>
        <w:rPr>
          <w:rFonts w:hint="eastAsia" w:ascii="黑体" w:hAnsi="黑体" w:eastAsia="黑体" w:cs="黑体"/>
          <w:b/>
          <w:bCs/>
          <w:spacing w:val="-6"/>
          <w:sz w:val="32"/>
          <w:szCs w:val="32"/>
        </w:rPr>
      </w:pPr>
      <w:r>
        <w:rPr>
          <w:rFonts w:hint="eastAsia" w:ascii="仿宋_GB2312" w:hAnsi="仿宋_GB2312" w:eastAsia="仿宋_GB2312" w:cs="仿宋_GB2312"/>
          <w:sz w:val="28"/>
          <w:szCs w:val="28"/>
        </w:rPr>
        <w:t>签约日期：202</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年 月 日       合同签订地：浙江省湖州市二环东路759号</w:t>
      </w:r>
    </w:p>
    <w:p w14:paraId="6BBCC894">
      <w:pPr>
        <w:spacing w:line="600" w:lineRule="exact"/>
        <w:rPr>
          <w:rFonts w:hint="default" w:ascii="仿宋_GB2312" w:hAnsi="仿宋_GB2312" w:eastAsia="仿宋_GB2312" w:cs="仿宋_GB2312"/>
          <w:sz w:val="32"/>
          <w:szCs w:val="32"/>
          <w:lang w:val="en-US" w:eastAsia="zh-CN"/>
        </w:rPr>
      </w:pPr>
    </w:p>
    <w:p w14:paraId="3CF0105B">
      <w:pPr>
        <w:snapToGrid w:val="0"/>
        <w:spacing w:before="156" w:beforeLines="50" w:after="50" w:line="400" w:lineRule="exact"/>
        <w:outlineLvl w:val="1"/>
        <w:rPr>
          <w:rFonts w:hint="eastAsia" w:ascii="黑体" w:hAnsi="黑体" w:eastAsia="黑体" w:cs="黑体"/>
          <w:b/>
          <w:bCs/>
          <w:spacing w:val="-6"/>
          <w:sz w:val="32"/>
          <w:szCs w:val="32"/>
        </w:rPr>
      </w:pPr>
    </w:p>
    <w:p w14:paraId="42B6F473">
      <w:pPr>
        <w:snapToGrid w:val="0"/>
        <w:spacing w:before="156" w:beforeLines="50" w:after="50" w:line="400" w:lineRule="exact"/>
        <w:outlineLvl w:val="1"/>
        <w:rPr>
          <w:rFonts w:hint="eastAsia" w:ascii="黑体" w:hAnsi="黑体" w:eastAsia="黑体" w:cs="黑体"/>
          <w:b/>
          <w:bCs/>
          <w:spacing w:val="-6"/>
          <w:sz w:val="32"/>
          <w:szCs w:val="32"/>
        </w:rPr>
      </w:pPr>
    </w:p>
    <w:p w14:paraId="0B590ED7">
      <w:pPr>
        <w:snapToGrid w:val="0"/>
        <w:spacing w:before="156" w:beforeLines="50" w:after="50" w:line="400" w:lineRule="exact"/>
        <w:outlineLvl w:val="1"/>
        <w:rPr>
          <w:rFonts w:hint="eastAsia" w:ascii="黑体" w:hAnsi="黑体" w:eastAsia="黑体" w:cs="黑体"/>
          <w:b/>
          <w:bCs/>
          <w:spacing w:val="-6"/>
          <w:sz w:val="32"/>
          <w:szCs w:val="32"/>
        </w:rPr>
      </w:pPr>
    </w:p>
    <w:p w14:paraId="12FC07D2">
      <w:pPr>
        <w:snapToGrid w:val="0"/>
        <w:spacing w:before="156" w:beforeLines="50" w:after="50" w:line="400" w:lineRule="exact"/>
        <w:outlineLvl w:val="1"/>
        <w:rPr>
          <w:rFonts w:hint="eastAsia" w:ascii="黑体" w:hAnsi="黑体" w:eastAsia="黑体" w:cs="黑体"/>
          <w:b/>
          <w:bCs/>
          <w:spacing w:val="-6"/>
          <w:sz w:val="32"/>
          <w:szCs w:val="32"/>
        </w:rPr>
      </w:pPr>
    </w:p>
    <w:p w14:paraId="6D180E9F">
      <w:pPr>
        <w:snapToGrid w:val="0"/>
        <w:spacing w:before="156" w:beforeLines="50" w:after="50" w:line="400" w:lineRule="exact"/>
        <w:outlineLvl w:val="1"/>
        <w:rPr>
          <w:rFonts w:hint="eastAsia" w:ascii="黑体" w:hAnsi="黑体" w:eastAsia="黑体" w:cs="黑体"/>
          <w:b/>
          <w:bCs/>
          <w:spacing w:val="-6"/>
          <w:sz w:val="32"/>
          <w:szCs w:val="32"/>
        </w:rPr>
      </w:pPr>
    </w:p>
    <w:p w14:paraId="73AEE7BB">
      <w:pPr>
        <w:snapToGrid w:val="0"/>
        <w:spacing w:before="156" w:beforeLines="50" w:after="50" w:line="400" w:lineRule="exact"/>
        <w:outlineLvl w:val="1"/>
        <w:rPr>
          <w:rFonts w:hint="eastAsia" w:ascii="黑体" w:hAnsi="黑体" w:eastAsia="黑体" w:cs="黑体"/>
          <w:b/>
          <w:bCs/>
          <w:spacing w:val="-6"/>
          <w:sz w:val="32"/>
          <w:szCs w:val="32"/>
        </w:rPr>
      </w:pPr>
    </w:p>
    <w:p w14:paraId="2D14A3E3">
      <w:pPr>
        <w:snapToGrid w:val="0"/>
        <w:spacing w:before="156" w:beforeLines="50" w:after="50" w:line="400" w:lineRule="exact"/>
        <w:outlineLvl w:val="1"/>
        <w:rPr>
          <w:rFonts w:hint="eastAsia" w:ascii="黑体" w:hAnsi="黑体" w:eastAsia="黑体" w:cs="黑体"/>
          <w:b/>
          <w:bCs/>
          <w:sz w:val="32"/>
          <w:szCs w:val="32"/>
        </w:rPr>
      </w:pPr>
      <w:r>
        <w:rPr>
          <w:rFonts w:hint="eastAsia" w:ascii="黑体" w:hAnsi="黑体" w:eastAsia="黑体" w:cs="黑体"/>
          <w:b/>
          <w:bCs/>
          <w:spacing w:val="-6"/>
          <w:sz w:val="32"/>
          <w:szCs w:val="32"/>
        </w:rPr>
        <w:t>附件</w:t>
      </w:r>
      <w:r>
        <w:rPr>
          <w:rFonts w:hint="eastAsia" w:ascii="黑体" w:hAnsi="黑体" w:eastAsia="黑体" w:cs="黑体"/>
          <w:b/>
          <w:bCs/>
          <w:spacing w:val="-6"/>
          <w:sz w:val="32"/>
          <w:szCs w:val="32"/>
          <w:lang w:val="en-US" w:eastAsia="zh-CN"/>
        </w:rPr>
        <w:t>1</w:t>
      </w:r>
      <w:r>
        <w:rPr>
          <w:rFonts w:hint="eastAsia" w:ascii="黑体" w:hAnsi="黑体" w:eastAsia="黑体" w:cs="黑体"/>
          <w:b/>
          <w:bCs/>
          <w:spacing w:val="-6"/>
          <w:sz w:val="32"/>
          <w:szCs w:val="32"/>
        </w:rPr>
        <w:t>:</w:t>
      </w:r>
    </w:p>
    <w:p w14:paraId="6EC91F51">
      <w:pPr>
        <w:spacing w:line="600" w:lineRule="exact"/>
        <w:jc w:val="center"/>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报 价 单</w:t>
      </w:r>
    </w:p>
    <w:p w14:paraId="51C035EB">
      <w:pPr>
        <w:spacing w:line="312" w:lineRule="auto"/>
        <w:jc w:val="center"/>
        <w:rPr>
          <w:rFonts w:hint="eastAsia" w:ascii="宋体" w:hAnsi="宋体"/>
          <w:b/>
          <w:bCs/>
          <w:sz w:val="52"/>
          <w:szCs w:val="52"/>
        </w:rPr>
      </w:pPr>
    </w:p>
    <w:p w14:paraId="3559BAF0">
      <w:pPr>
        <w:spacing w:line="520" w:lineRule="exact"/>
        <w:ind w:firstLine="640" w:firstLineChars="200"/>
        <w:rPr>
          <w:rFonts w:hint="eastAsia" w:ascii="仿宋" w:hAnsi="仿宋" w:eastAsia="仿宋" w:cs="仿宋"/>
          <w:sz w:val="32"/>
          <w:szCs w:val="32"/>
          <w:lang w:val="en-US" w:eastAsia="zh-CN"/>
        </w:rPr>
      </w:pPr>
      <w:r>
        <w:rPr>
          <w:rFonts w:hint="eastAsia" w:ascii="仿宋_GB2312" w:eastAsia="仿宋_GB2312"/>
          <w:sz w:val="32"/>
          <w:szCs w:val="32"/>
        </w:rPr>
        <w:t>项目名称</w:t>
      </w:r>
      <w:r>
        <w:rPr>
          <w:rFonts w:hint="eastAsia" w:ascii="仿宋" w:hAnsi="仿宋" w:eastAsia="仿宋" w:cs="仿宋"/>
          <w:sz w:val="32"/>
          <w:szCs w:val="32"/>
          <w:lang w:val="en-US" w:eastAsia="zh-CN"/>
        </w:rPr>
        <w:t>：维修改造项目监理服务单位遴选项目</w:t>
      </w:r>
    </w:p>
    <w:p w14:paraId="1C9EE195">
      <w:pPr>
        <w:rPr>
          <w:rFonts w:hint="eastAsia" w:ascii="仿宋_GB2312" w:eastAsia="仿宋_GB2312"/>
          <w:sz w:val="32"/>
          <w:szCs w:val="32"/>
        </w:rPr>
      </w:pPr>
    </w:p>
    <w:p w14:paraId="141ACCD1">
      <w:pPr>
        <w:spacing w:line="312" w:lineRule="auto"/>
        <w:rPr>
          <w:rFonts w:hint="eastAsia" w:ascii="仿宋" w:hAnsi="仿宋" w:eastAsia="仿宋" w:cs="仿宋"/>
          <w:sz w:val="32"/>
          <w:szCs w:val="32"/>
        </w:rPr>
      </w:pPr>
    </w:p>
    <w:p w14:paraId="3E2FA28F">
      <w:pPr>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本项目监理费率投标</w:t>
      </w:r>
      <w:r>
        <w:rPr>
          <w:rFonts w:hint="eastAsia" w:ascii="仿宋_GB2312" w:eastAsia="仿宋_GB2312"/>
          <w:sz w:val="32"/>
          <w:szCs w:val="32"/>
        </w:rPr>
        <w:t>报价：</w:t>
      </w:r>
    </w:p>
    <w:p w14:paraId="74E36D9D">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人民币大写：</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_GB2312" w:eastAsia="仿宋_GB2312"/>
          <w:sz w:val="32"/>
          <w:szCs w:val="32"/>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_GB2312" w:eastAsia="仿宋_GB2312"/>
          <w:sz w:val="32"/>
          <w:szCs w:val="32"/>
        </w:rPr>
        <w:t>）。</w:t>
      </w:r>
    </w:p>
    <w:p w14:paraId="61A17735">
      <w:pPr>
        <w:spacing w:line="520" w:lineRule="exact"/>
        <w:ind w:firstLine="640" w:firstLineChars="200"/>
        <w:rPr>
          <w:rFonts w:hint="eastAsia" w:ascii="仿宋" w:hAnsi="仿宋" w:eastAsia="仿宋" w:cs="仿宋"/>
          <w:sz w:val="32"/>
          <w:szCs w:val="32"/>
        </w:rPr>
      </w:pPr>
    </w:p>
    <w:p w14:paraId="1282A66B">
      <w:pPr>
        <w:ind w:firstLine="64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注：1.保留小数点后两位。</w:t>
      </w:r>
    </w:p>
    <w:p w14:paraId="57EEA4BF">
      <w:pPr>
        <w:numPr>
          <w:ilvl w:val="0"/>
          <w:numId w:val="2"/>
        </w:numPr>
        <w:ind w:firstLine="1292" w:firstLineChars="404"/>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投标报价高于最高限价1%为无效标。</w:t>
      </w:r>
    </w:p>
    <w:p w14:paraId="7F22BCE2">
      <w:pPr>
        <w:numPr>
          <w:ilvl w:val="0"/>
          <w:numId w:val="0"/>
        </w:numPr>
        <w:ind w:firstLine="1280" w:firstLineChars="400"/>
        <w:rPr>
          <w:rFonts w:hint="eastAsia" w:ascii="仿宋" w:hAnsi="仿宋" w:eastAsia="仿宋" w:cs="仿宋"/>
          <w:sz w:val="32"/>
          <w:szCs w:val="32"/>
        </w:rPr>
      </w:pPr>
      <w:r>
        <w:rPr>
          <w:rFonts w:hint="eastAsia" w:ascii="仿宋" w:hAnsi="仿宋" w:eastAsia="仿宋" w:cs="仿宋"/>
          <w:sz w:val="32"/>
          <w:szCs w:val="32"/>
          <w:lang w:val="en-US" w:eastAsia="zh-CN"/>
        </w:rPr>
        <w:t>3.以上报价包括监理、车辆、人工、税费、服务、验收等全部费用在内。</w:t>
      </w:r>
    </w:p>
    <w:p w14:paraId="653AAB7B">
      <w:pPr>
        <w:spacing w:line="312" w:lineRule="auto"/>
        <w:ind w:firstLine="320" w:firstLineChars="100"/>
        <w:rPr>
          <w:rFonts w:hint="eastAsia" w:ascii="仿宋" w:hAnsi="仿宋" w:eastAsia="仿宋" w:cs="仿宋"/>
          <w:sz w:val="32"/>
          <w:szCs w:val="32"/>
        </w:rPr>
      </w:pPr>
    </w:p>
    <w:p w14:paraId="482A96F1">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我单位已阅读本项目询价文件并响应文件中的各条款。并同意按</w:t>
      </w:r>
      <w:r>
        <w:rPr>
          <w:rFonts w:hint="eastAsia" w:ascii="仿宋_GB2312" w:eastAsia="仿宋_GB2312"/>
          <w:sz w:val="32"/>
          <w:szCs w:val="32"/>
          <w:lang w:val="en-US" w:eastAsia="zh-CN"/>
        </w:rPr>
        <w:t>采购人监理费率计算方式</w:t>
      </w:r>
      <w:r>
        <w:rPr>
          <w:rFonts w:hint="eastAsia" w:ascii="仿宋_GB2312" w:eastAsia="仿宋_GB2312"/>
          <w:sz w:val="32"/>
          <w:szCs w:val="32"/>
        </w:rPr>
        <w:t>提供服务。</w:t>
      </w:r>
    </w:p>
    <w:p w14:paraId="230019D0">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 xml:space="preserve">     </w:t>
      </w:r>
    </w:p>
    <w:p w14:paraId="7924CEEC">
      <w:pPr>
        <w:spacing w:line="520" w:lineRule="exact"/>
        <w:ind w:firstLine="4480" w:firstLineChars="1400"/>
        <w:jc w:val="left"/>
        <w:rPr>
          <w:rFonts w:hint="eastAsia" w:ascii="仿宋_GB2312" w:eastAsia="仿宋_GB2312"/>
          <w:sz w:val="32"/>
          <w:szCs w:val="32"/>
        </w:rPr>
      </w:pPr>
      <w:r>
        <w:rPr>
          <w:rFonts w:hint="eastAsia" w:ascii="仿宋_GB2312" w:eastAsia="仿宋_GB2312"/>
          <w:sz w:val="32"/>
          <w:szCs w:val="32"/>
        </w:rPr>
        <w:t>报价单位：</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_GB2312" w:eastAsia="仿宋_GB2312"/>
          <w:sz w:val="32"/>
          <w:szCs w:val="32"/>
        </w:rPr>
        <w:t xml:space="preserve">                 </w:t>
      </w:r>
    </w:p>
    <w:p w14:paraId="5E5325B5">
      <w:pPr>
        <w:spacing w:line="520" w:lineRule="exact"/>
        <w:ind w:firstLine="640" w:firstLineChars="200"/>
        <w:jc w:val="left"/>
        <w:rPr>
          <w:rFonts w:hint="eastAsia" w:ascii="仿宋_GB2312" w:eastAsia="仿宋_GB2312"/>
          <w:sz w:val="32"/>
          <w:szCs w:val="32"/>
        </w:rPr>
      </w:pPr>
      <w:r>
        <w:rPr>
          <w:rFonts w:hint="eastAsia" w:ascii="仿宋_GB2312" w:eastAsia="仿宋_GB2312"/>
          <w:sz w:val="32"/>
          <w:szCs w:val="32"/>
        </w:rPr>
        <w:t xml:space="preserve">                                 （盖章）</w:t>
      </w:r>
    </w:p>
    <w:p w14:paraId="6F77728F">
      <w:pPr>
        <w:jc w:val="left"/>
        <w:rPr>
          <w:rFonts w:hint="eastAsia" w:ascii="仿宋_GB2312" w:eastAsia="仿宋_GB2312"/>
          <w:sz w:val="32"/>
          <w:szCs w:val="32"/>
        </w:rPr>
      </w:pPr>
      <w:r>
        <w:rPr>
          <w:rFonts w:hint="eastAsia" w:ascii="仿宋_GB2312" w:eastAsia="仿宋_GB2312"/>
          <w:sz w:val="32"/>
          <w:szCs w:val="32"/>
        </w:rPr>
        <w:t xml:space="preserve">                            报价代表（签字）：            </w:t>
      </w:r>
    </w:p>
    <w:p w14:paraId="70A43B71">
      <w:pPr>
        <w:spacing w:line="520" w:lineRule="exact"/>
        <w:ind w:firstLine="640" w:firstLineChars="200"/>
        <w:jc w:val="left"/>
        <w:rPr>
          <w:rFonts w:hint="eastAsia" w:ascii="仿宋_GB2312" w:eastAsia="仿宋_GB2312"/>
          <w:sz w:val="32"/>
          <w:szCs w:val="32"/>
        </w:rPr>
      </w:pPr>
      <w:r>
        <w:rPr>
          <w:rFonts w:hint="eastAsia" w:ascii="仿宋_GB2312" w:eastAsia="仿宋_GB2312"/>
          <w:sz w:val="32"/>
          <w:szCs w:val="32"/>
        </w:rPr>
        <w:t xml:space="preserve">                        日期：  年     月     日</w:t>
      </w:r>
    </w:p>
    <w:p w14:paraId="10CC33E8">
      <w:pPr>
        <w:spacing w:line="600" w:lineRule="exact"/>
        <w:rPr>
          <w:rFonts w:hint="default" w:ascii="仿宋_GB2312" w:hAnsi="仿宋_GB2312" w:eastAsia="仿宋_GB2312" w:cs="仿宋_GB2312"/>
          <w:sz w:val="32"/>
          <w:szCs w:val="32"/>
          <w:lang w:val="en-US" w:eastAsia="zh-CN"/>
        </w:rPr>
      </w:pPr>
    </w:p>
    <w:sectPr>
      <w:pgSz w:w="11906" w:h="16838"/>
      <w:pgMar w:top="1780" w:right="1406" w:bottom="1780" w:left="140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altName w:val="仿宋_GB2312"/>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A742BD"/>
    <w:multiLevelType w:val="singleLevel"/>
    <w:tmpl w:val="9CA742BD"/>
    <w:lvl w:ilvl="0" w:tentative="0">
      <w:start w:val="6"/>
      <w:numFmt w:val="chineseCounting"/>
      <w:suff w:val="nothing"/>
      <w:lvlText w:val="%1、"/>
      <w:lvlJc w:val="left"/>
      <w:rPr>
        <w:rFonts w:hint="eastAsia"/>
      </w:rPr>
    </w:lvl>
  </w:abstractNum>
  <w:abstractNum w:abstractNumId="1">
    <w:nsid w:val="C1D23FB1"/>
    <w:multiLevelType w:val="singleLevel"/>
    <w:tmpl w:val="C1D23FB1"/>
    <w:lvl w:ilvl="0" w:tentative="0">
      <w:start w:val="2"/>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6D1EA9"/>
    <w:rsid w:val="06847D2F"/>
    <w:rsid w:val="0B397468"/>
    <w:rsid w:val="106D1EA9"/>
    <w:rsid w:val="13523D2F"/>
    <w:rsid w:val="179172FE"/>
    <w:rsid w:val="21C90A3A"/>
    <w:rsid w:val="26A77517"/>
    <w:rsid w:val="2AFC5BEF"/>
    <w:rsid w:val="56BE2413"/>
    <w:rsid w:val="5D6C2909"/>
    <w:rsid w:val="61192828"/>
    <w:rsid w:val="65482685"/>
    <w:rsid w:val="66CD518A"/>
    <w:rsid w:val="71F87150"/>
    <w:rsid w:val="76210048"/>
    <w:rsid w:val="77E63C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Normal (Web)"/>
    <w:basedOn w:val="1"/>
    <w:qFormat/>
    <w:uiPriority w:val="0"/>
    <w:rPr>
      <w:sz w:val="24"/>
    </w:rPr>
  </w:style>
  <w:style w:type="paragraph" w:styleId="4">
    <w:name w:val="Body Text First Indent"/>
    <w:unhideWhenUsed/>
    <w:qFormat/>
    <w:uiPriority w:val="0"/>
    <w:pPr>
      <w:widowControl w:val="0"/>
      <w:spacing w:after="120" w:line="288" w:lineRule="auto"/>
      <w:ind w:firstLine="420" w:firstLineChars="100"/>
      <w:jc w:val="both"/>
    </w:pPr>
    <w:rPr>
      <w:rFonts w:hint="default" w:ascii="Times New Roman" w:hAnsi="Calibri" w:eastAsia="宋体" w:cs="Times New Roman"/>
      <w:kern w:val="2"/>
      <w:sz w:val="28"/>
      <w:szCs w:val="24"/>
      <w:lang w:val="en-US" w:eastAsia="zh-CN" w:bidi="ar-SA"/>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_Style 3"/>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3619</Words>
  <Characters>3919</Characters>
  <Lines>0</Lines>
  <Paragraphs>0</Paragraphs>
  <TotalTime>11</TotalTime>
  <ScaleCrop>false</ScaleCrop>
  <LinksUpToDate>false</LinksUpToDate>
  <CharactersWithSpaces>4451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2025-06-13T08:49:00Z</dcterms:created>
  <dc:creator>admin</dc:creator>
  <cp:lastModifiedBy>闻闻看</cp:lastModifiedBy>
  <cp:lastPrinted>2026-09-30T03:17:06Z</cp:lastPrinted>
  <dcterms:modified xsi:type="dcterms:W3CDTF">2026-09-30T03:17:14Z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5F5E4D171614498E8DBAB72C165FB60B_11</vt:lpwstr>
  </property>
  <property fmtid="{D5CDD505-2E9C-101B-9397-08002B2CF9AE}" pid="4" name="KSOTemplateDocerSaveRecord">
    <vt:lpwstr>eyJoZGlkIjoiMWE1OGQ0ZTVmOTg2NzIxOTlmODgzNGRkN2IyNjM5MGMiLCJ1c2VySWQiOiI0MTY5MDU3MjgifQ==</vt:lpwstr>
  </property>
</Properties>
</file>