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8574B3">
      <w:pPr>
        <w:ind w:firstLine="880" w:firstLineChars="200"/>
        <w:jc w:val="both"/>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维修改造项目监理服务单位</w:t>
      </w:r>
      <w:r>
        <w:rPr>
          <w:rFonts w:hint="eastAsia" w:ascii="方正小标宋_GBK" w:hAnsi="方正小标宋_GBK" w:eastAsia="方正小标宋_GBK" w:cs="方正小标宋_GBK"/>
          <w:sz w:val="44"/>
          <w:szCs w:val="44"/>
        </w:rPr>
        <w:t>遴选</w:t>
      </w:r>
      <w:r>
        <w:rPr>
          <w:rFonts w:hint="eastAsia" w:ascii="方正小标宋_GBK" w:hAnsi="方正小标宋_GBK" w:eastAsia="方正小标宋_GBK" w:cs="方正小标宋_GBK"/>
          <w:sz w:val="44"/>
          <w:szCs w:val="44"/>
          <w:lang w:val="en-US" w:eastAsia="zh-CN"/>
        </w:rPr>
        <w:t>文件</w:t>
      </w:r>
    </w:p>
    <w:p w14:paraId="5D2A82EF">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仿宋_GB2312" w:hAnsi="仿宋_GB2312" w:eastAsia="仿宋_GB2312" w:cs="仿宋_GB2312"/>
          <w:sz w:val="28"/>
          <w:szCs w:val="28"/>
          <w:lang w:val="en-US" w:eastAsia="zh-CN"/>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一、项目名称：</w:t>
      </w:r>
      <w:r>
        <w:rPr>
          <w:rFonts w:hint="eastAsia" w:ascii="仿宋_GB2312" w:hAnsi="仿宋_GB2312" w:eastAsia="仿宋_GB2312" w:cs="仿宋_GB2312"/>
          <w:sz w:val="28"/>
          <w:szCs w:val="28"/>
          <w:lang w:val="en-US" w:eastAsia="zh-CN"/>
        </w:rPr>
        <w:t>维修改造项目监理服务单位遴选项目</w:t>
      </w:r>
    </w:p>
    <w:p w14:paraId="74E30B98">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二、项目说明</w:t>
      </w:r>
    </w:p>
    <w:p w14:paraId="088C48C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1.服务内容：后勤服务中心工程类维修改造项目所需监理服务。主要范围：单个维修改造合同金额在20万元（含）以上、100万元以下的项目；单个维修改造合同金额在20万元以下的项目，具体视项目工程施工难度确定监理服务，可参照执行。</w:t>
      </w:r>
    </w:p>
    <w:p w14:paraId="08A730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lang w:val="en-US" w:eastAsia="zh-CN"/>
        </w:rPr>
        <w:t>2.服务</w:t>
      </w:r>
      <w:r>
        <w:rPr>
          <w:rFonts w:hint="eastAsia" w:ascii="仿宋_GB2312" w:hAnsi="仿宋_GB2312" w:eastAsia="仿宋_GB2312" w:cs="仿宋_GB2312"/>
          <w:sz w:val="28"/>
          <w:szCs w:val="28"/>
          <w:highlight w:val="none"/>
          <w:lang w:val="en-US" w:eastAsia="zh-CN"/>
        </w:rPr>
        <w:t>期限：合同签订之日至2027年12月31日。</w:t>
      </w:r>
    </w:p>
    <w:p w14:paraId="675BA3A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3.遴选数量：3家。</w:t>
      </w:r>
    </w:p>
    <w:p w14:paraId="5AAA300F">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三、资格要求</w:t>
      </w:r>
    </w:p>
    <w:p w14:paraId="12E35E6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1.投标人应具备独立承担民事责任的能力，具有本项目经营范围，持有国家规定从事本行业的一系列相关证件。</w:t>
      </w:r>
    </w:p>
    <w:p w14:paraId="7167188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2.未被“信用中国”网站(www.creditchina.gov.cn)列入失信被执行人、重大税收违法案件当事人名单；未被“中国政府采购网”(www.ccgp.gov.cn)列入政府采购严重违法失信行为记录名单。</w:t>
      </w:r>
    </w:p>
    <w:p w14:paraId="341C5F5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3.投标人具有建设行政主管部门核发的房屋建筑工程监理乙级及以上资质。</w:t>
      </w:r>
    </w:p>
    <w:p w14:paraId="5149C00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4.项目负责人须具备有效期内的房屋建筑工程专业国家注册监理工程师执业资格。</w:t>
      </w:r>
    </w:p>
    <w:p w14:paraId="6FB09E5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5.服务期限内，凡为学校同一采购项目提供招标代理、设计、造价编制、竣工结算审计等服务的单位，不得再参加本次投标。    </w:t>
      </w:r>
    </w:p>
    <w:p w14:paraId="198BB7B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6.服务期限内，中标人不得再参与后勤维修改造项目投标、施工等。</w:t>
      </w:r>
    </w:p>
    <w:p w14:paraId="0945F041">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四、资格文件</w:t>
      </w:r>
    </w:p>
    <w:p w14:paraId="25868E2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资格文件应包含以下内容（文件需装订成册，所有证件均须真实、有效，复印件均须加盖公章，缺少以下任意一项内容即作不符合要求）：   </w:t>
      </w:r>
    </w:p>
    <w:p w14:paraId="2386FD7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1.投标代表人身份证复印件；如非法定代表人投标，另提供法定代表人授权委托书原件、授权代表人在投标人单位近三个月缴纳社保的凭证、法定代表人身份证复印件；</w:t>
      </w:r>
    </w:p>
    <w:p w14:paraId="65C03FC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sz w:val="28"/>
          <w:szCs w:val="28"/>
          <w:lang w:val="en-US" w:eastAsia="zh-CN"/>
        </w:rPr>
        <w:t>2.有效的营业执照副本复印件、税务登记证副本复印件（或“三证合一”营业执照副本复印件、或“五证合一”营业执照副本复印件）；</w:t>
      </w:r>
    </w:p>
    <w:p w14:paraId="546AFD1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3.具有建设行政主管部门核发的房屋建筑工程监理乙级及以上资质，相关证明资料复印件；</w:t>
      </w:r>
    </w:p>
    <w:p w14:paraId="69A6EF5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5.项目负责人须具备有效期内的房屋建筑工程专业国家注册监理工程师执业资格，提供证书复印件，并提供在投标人单位近三个月缴纳社保的凭证；</w:t>
      </w:r>
    </w:p>
    <w:p w14:paraId="77C4D83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6.提供自采购公告发布之日起至开标截止时间止的“信用中国”网站（www.creditchina.gov.cn）、中国政府采购网（www.ccgp.gov.cn）、“浙江政府采购网”（zfcg.czt.zj.gov.cn）投标人信用查询网页截图（至少提供2个）；</w:t>
      </w:r>
    </w:p>
    <w:p w14:paraId="72D7B2A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7.其他能够反映申请商家资质的材料。</w:t>
      </w:r>
    </w:p>
    <w:p w14:paraId="71A2302A">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五、中标方式</w:t>
      </w:r>
    </w:p>
    <w:p w14:paraId="2E6C4030">
      <w:pPr>
        <w:keepNext w:val="0"/>
        <w:keepLines w:val="0"/>
        <w:pageBreakBefore w:val="0"/>
        <w:widowControl w:val="0"/>
        <w:kinsoku/>
        <w:wordWrap/>
        <w:overflowPunct/>
        <w:topLinePunct w:val="0"/>
        <w:autoSpaceDE/>
        <w:autoSpaceDN/>
        <w:bidi w:val="0"/>
        <w:adjustRightInd/>
        <w:snapToGrid/>
        <w:spacing w:line="520" w:lineRule="exact"/>
        <w:ind w:left="2038" w:leftChars="304" w:hanging="1400" w:hangingChars="5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（一）中标方式</w:t>
      </w:r>
    </w:p>
    <w:p w14:paraId="79FB8AC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2" w:firstLineChars="200"/>
        <w:jc w:val="left"/>
        <w:textAlignment w:val="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1.投标人按照监理费率进行报价，监理费率最高限价1%。报价保留小数点后两位，投标报价高于最高限价均为无效标。</w:t>
      </w:r>
    </w:p>
    <w:p w14:paraId="39F65AD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2.根据投标人投标报价排序，选择优惠排名前3家作为中标人。最终监理费率为3家中标人投标监理费率的平均值。</w:t>
      </w:r>
    </w:p>
    <w:p w14:paraId="12636BD9">
      <w:pPr>
        <w:keepNext w:val="0"/>
        <w:keepLines w:val="0"/>
        <w:pageBreakBefore w:val="0"/>
        <w:widowControl w:val="0"/>
        <w:kinsoku/>
        <w:wordWrap/>
        <w:overflowPunct/>
        <w:topLinePunct w:val="0"/>
        <w:autoSpaceDE/>
        <w:autoSpaceDN/>
        <w:bidi w:val="0"/>
        <w:adjustRightInd/>
        <w:snapToGrid/>
        <w:spacing w:line="520" w:lineRule="exact"/>
        <w:ind w:left="2038" w:leftChars="304" w:hanging="1400" w:hangingChars="5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（二）服务费用计算</w:t>
      </w:r>
    </w:p>
    <w:p w14:paraId="1D308292">
      <w:pPr>
        <w:keepNext w:val="0"/>
        <w:keepLines w:val="0"/>
        <w:pageBreakBefore w:val="0"/>
        <w:widowControl w:val="0"/>
        <w:kinsoku/>
        <w:wordWrap/>
        <w:overflowPunct/>
        <w:topLinePunct w:val="0"/>
        <w:autoSpaceDE/>
        <w:autoSpaceDN/>
        <w:bidi w:val="0"/>
        <w:adjustRightInd/>
        <w:snapToGrid/>
        <w:spacing w:line="520" w:lineRule="exact"/>
        <w:ind w:left="2038" w:leftChars="304" w:hanging="1400" w:hangingChars="500"/>
        <w:jc w:val="left"/>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监理服务费=工程项目合同价（元）×最终监理费率。</w:t>
      </w:r>
    </w:p>
    <w:p w14:paraId="2C6766B2">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highlight w:val="none"/>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highlight w:val="none"/>
          <w:lang w:val="en-US" w:eastAsia="zh-CN"/>
          <w14:textFill>
            <w14:solidFill>
              <w14:schemeClr w14:val="tx1">
                <w14:lumMod w14:val="95000"/>
                <w14:lumOff w14:val="5000"/>
              </w14:schemeClr>
            </w14:solidFill>
          </w14:textFill>
        </w:rPr>
        <w:t>付款方式</w:t>
      </w:r>
    </w:p>
    <w:p w14:paraId="0B2348A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396"/>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 xml:space="preserve">         </w:t>
      </w: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 xml:space="preserve"> 协助工程项目实施完毕并通过验收后一次性支付监理费。</w:t>
      </w:r>
    </w:p>
    <w:p w14:paraId="75BCF3E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00" w:firstLineChars="2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七、服务要求</w:t>
      </w:r>
    </w:p>
    <w:p w14:paraId="4A46864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1.中标人委派专人驻场管理，负责维修项目施工全过程质量控制、进度控制、投资控制、安全管理、合同履行、信息等管理和工作协调，协助项目验收。</w:t>
      </w:r>
    </w:p>
    <w:p w14:paraId="1B5663E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2.中标人应严格按《建设工程监理规范》（GB/T50319-2013）要求组织实施。</w:t>
      </w:r>
    </w:p>
    <w:p w14:paraId="0CD0E97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3.每家中标人服务项目数不得超过本次服务期限内总项目数的二分之一。委托人按照中标人投标优惠率由高到低依次排序，按项目顺序轮流分配监理任务。</w:t>
      </w:r>
    </w:p>
    <w:p w14:paraId="33102CD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color w:val="0D0D0D" w:themeColor="text1" w:themeTint="F2"/>
          <w:sz w:val="28"/>
          <w:szCs w:val="28"/>
          <w:lang w:val="en-US" w:eastAsia="zh-CN"/>
          <w14:textFill>
            <w14:solidFill>
              <w14:schemeClr w14:val="tx1">
                <w14:lumMod w14:val="95000"/>
                <w14:lumOff w14:val="5000"/>
              </w14:schemeClr>
            </w14:solidFill>
          </w14:textFill>
        </w:rPr>
        <w:t>4.中标人须接受采购人的考核管理。采购人将按照每个单项对监理服务进行考核，考核办法另行制定。</w:t>
      </w:r>
    </w:p>
    <w:p w14:paraId="0F0B9408">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八、违约责任</w:t>
      </w:r>
    </w:p>
    <w:p w14:paraId="22049E9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1.驻场监理人员应在项目实施过程中全程监理，每缺勤一日，处以100元的罚金。</w:t>
      </w:r>
    </w:p>
    <w:p w14:paraId="39B016D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2.中标人未经委托人书面同意，不得擅自更换项目负责人、驻场管理人员，违反处以500-1000元的罚金。</w:t>
      </w:r>
    </w:p>
    <w:p w14:paraId="2DA579D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3.中标人逾期提供服务的，每逾期一日，处以100元的罚金。逾期超过约定日期10个工作日的，直接解除合同。</w:t>
      </w:r>
    </w:p>
    <w:p w14:paraId="4C4AD478">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九、退出机制</w:t>
      </w:r>
    </w:p>
    <w:p w14:paraId="741EE45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在服务期内，若中标人出现以下情形之一的，则直接取消监理服务资格：</w:t>
      </w:r>
    </w:p>
    <w:p w14:paraId="3E8D604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1.在监理过程中发生违反国家法律法规、行业规定及明令禁止的违法行为。</w:t>
      </w:r>
    </w:p>
    <w:p w14:paraId="11117DE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2.驻场监理人员擅自脱岗或经常性缺岗。</w:t>
      </w:r>
    </w:p>
    <w:p w14:paraId="5BC1DB0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3.驻场监理人员违反职业道德，私自收受施工单位物品或接受施工单位宴请。</w:t>
      </w:r>
    </w:p>
    <w:p w14:paraId="7F07DCD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4.驻场监理人员专业技术水平不足，未能及时发现施工过程中的严重质量缺陷，造成重大经济损失或严重工期滞后等情形。</w:t>
      </w:r>
    </w:p>
    <w:p w14:paraId="41ACD94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5.与委托人配合态度消极，在施工过程中存在徇私舞弊，出现对施工材料的进场检验不严格、工程验收敷衍了事，工程变更和结算工程量审核严重脱离现实等情形。</w:t>
      </w:r>
    </w:p>
    <w:p w14:paraId="33D40B2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6.违反保密义务，擅自利用或对外发表或披露属于委托人的且无法自公开渠道获得的文件及资料。</w:t>
      </w:r>
    </w:p>
    <w:p w14:paraId="2FBEAF2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28"/>
          <w:szCs w:val="28"/>
          <w:lang w:val="en-US" w:eastAsia="zh-CN"/>
          <w14:textFill>
            <w14:solidFill>
              <w14:schemeClr w14:val="tx1">
                <w14:lumMod w14:val="95000"/>
                <w14:lumOff w14:val="5000"/>
              </w14:schemeClr>
            </w14:solidFill>
          </w14:textFill>
        </w:rPr>
        <w:t>7.考核不合格。</w:t>
      </w:r>
    </w:p>
    <w:p w14:paraId="4BB96E47">
      <w:pPr>
        <w:keepNext w:val="0"/>
        <w:keepLines w:val="0"/>
        <w:pageBreakBefore w:val="0"/>
        <w:widowControl w:val="0"/>
        <w:kinsoku/>
        <w:wordWrap/>
        <w:overflowPunct/>
        <w:topLinePunct w:val="0"/>
        <w:autoSpaceDE/>
        <w:autoSpaceDN/>
        <w:bidi w:val="0"/>
        <w:adjustRightInd/>
        <w:snapToGrid/>
        <w:spacing w:line="520" w:lineRule="exact"/>
        <w:ind w:left="2738" w:leftChars="304" w:hanging="2100" w:hangingChars="700"/>
        <w:jc w:val="left"/>
        <w:textAlignment w:val="auto"/>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pPr>
      <w:r>
        <w:rPr>
          <w:rFonts w:hint="eastAsia" w:ascii="黑体" w:hAnsi="黑体" w:eastAsia="黑体" w:cs="黑体"/>
          <w:bCs/>
          <w:color w:val="0D0D0D" w:themeColor="text1" w:themeTint="F2"/>
          <w:sz w:val="30"/>
          <w:szCs w:val="30"/>
          <w:lang w:val="en-US" w:eastAsia="zh-CN"/>
          <w14:textFill>
            <w14:solidFill>
              <w14:schemeClr w14:val="tx1">
                <w14:lumMod w14:val="95000"/>
                <w14:lumOff w14:val="5000"/>
              </w14:schemeClr>
            </w14:solidFill>
          </w14:textFill>
        </w:rPr>
        <w:t>十、文件提交时间及地点</w:t>
      </w:r>
    </w:p>
    <w:p w14:paraId="5E0DA083">
      <w:pPr>
        <w:numPr>
          <w:ilvl w:val="0"/>
          <w:numId w:val="0"/>
        </w:numPr>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1.文件应装入档案袋密封，封条上须加盖投标人公章，文件由投标人送至接受地点并交采购人。</w:t>
      </w:r>
    </w:p>
    <w:p w14:paraId="0B7C3AF9">
      <w:pPr>
        <w:numPr>
          <w:ilvl w:val="0"/>
          <w:numId w:val="0"/>
        </w:numPr>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2.文件提交时间：2026年9月30日</w:t>
      </w:r>
      <w:r>
        <w:rPr>
          <w:rFonts w:hint="eastAsia" w:ascii="仿宋_GB2312" w:hAnsi="仿宋_GB2312" w:eastAsia="仿宋_GB2312" w:cs="仿宋_GB2312"/>
          <w:sz w:val="28"/>
          <w:szCs w:val="28"/>
          <w:highlight w:val="none"/>
          <w:lang w:val="en-US" w:eastAsia="zh-CN"/>
        </w:rPr>
        <w:t>（周三）10 :40时。</w:t>
      </w:r>
    </w:p>
    <w:p w14:paraId="1BA05AC7">
      <w:pPr>
        <w:numPr>
          <w:ilvl w:val="0"/>
          <w:numId w:val="0"/>
        </w:numPr>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3.文件接受地点：浙江省湖州市二环东路759号湖州师范大学东校区2号行政楼214室。</w:t>
      </w:r>
    </w:p>
    <w:p w14:paraId="5E5B7EE8">
      <w:pPr>
        <w:numPr>
          <w:ilvl w:val="0"/>
          <w:numId w:val="0"/>
        </w:numPr>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4.联系人：卢老师，联系电话：0572-2321597。  </w:t>
      </w:r>
    </w:p>
    <w:p w14:paraId="404BB51F">
      <w:pPr>
        <w:numPr>
          <w:ilvl w:val="0"/>
          <w:numId w:val="0"/>
        </w:numPr>
        <w:ind w:firstLine="280" w:firstLineChars="100"/>
        <w:jc w:val="left"/>
        <w:rPr>
          <w:rFonts w:hint="eastAsia" w:ascii="仿宋_GB2312" w:hAnsi="仿宋_GB2312" w:eastAsia="仿宋_GB2312" w:cs="仿宋_GB2312"/>
          <w:sz w:val="28"/>
          <w:szCs w:val="28"/>
          <w:lang w:val="en-US" w:eastAsia="zh-CN"/>
        </w:rPr>
      </w:pPr>
    </w:p>
    <w:p w14:paraId="46961E1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280" w:firstLineChars="1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湖州师范学院后勤服务中心</w:t>
      </w:r>
    </w:p>
    <w:p w14:paraId="4CCF8FF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320" w:firstLineChars="19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2026年9月22日</w:t>
      </w:r>
    </w:p>
    <w:p w14:paraId="376FE82D">
      <w:pPr>
        <w:spacing w:line="480" w:lineRule="exact"/>
        <w:jc w:val="both"/>
        <w:rPr>
          <w:rFonts w:hint="eastAsia" w:ascii="仿宋_GB2312" w:hAnsi="仿宋_GB2312" w:eastAsia="仿宋_GB2312" w:cs="仿宋_GB2312"/>
          <w:kern w:val="2"/>
          <w:sz w:val="28"/>
          <w:szCs w:val="28"/>
          <w:lang w:val="en-US" w:eastAsia="zh-CN" w:bidi="ar-SA"/>
        </w:rPr>
      </w:pPr>
    </w:p>
    <w:p w14:paraId="6C40B0A1">
      <w:pPr>
        <w:spacing w:line="480" w:lineRule="exact"/>
        <w:jc w:val="both"/>
        <w:rPr>
          <w:rFonts w:hint="eastAsia" w:ascii="黑体" w:hAnsi="黑体" w:eastAsia="黑体" w:cstheme="minorBidi"/>
          <w:kern w:val="2"/>
          <w:sz w:val="32"/>
          <w:szCs w:val="32"/>
          <w:lang w:val="en-US" w:eastAsia="zh-CN" w:bidi="ar-SA"/>
        </w:rPr>
      </w:pPr>
    </w:p>
    <w:p w14:paraId="6A88BFE3">
      <w:pPr>
        <w:spacing w:line="480" w:lineRule="exact"/>
        <w:jc w:val="both"/>
        <w:rPr>
          <w:rFonts w:hint="eastAsia" w:ascii="黑体" w:hAnsi="黑体" w:eastAsia="黑体" w:cstheme="minorBidi"/>
          <w:kern w:val="2"/>
          <w:sz w:val="32"/>
          <w:szCs w:val="32"/>
          <w:lang w:val="en-US" w:eastAsia="zh-CN" w:bidi="ar-SA"/>
        </w:rPr>
      </w:pPr>
    </w:p>
    <w:p w14:paraId="4D3C0D67">
      <w:pPr>
        <w:spacing w:line="600" w:lineRule="exact"/>
        <w:jc w:val="both"/>
        <w:rPr>
          <w:rFonts w:hint="eastAsia" w:ascii="方正小标宋简体" w:eastAsia="方正小标宋简体"/>
          <w:b/>
          <w:bCs/>
          <w:sz w:val="44"/>
          <w:szCs w:val="44"/>
        </w:rPr>
      </w:pPr>
      <w:bookmarkStart w:id="0" w:name="_GoBack"/>
      <w:bookmarkEnd w:id="0"/>
    </w:p>
    <w:p w14:paraId="1F0F62B9">
      <w:pPr>
        <w:spacing w:line="600" w:lineRule="exact"/>
        <w:ind w:firstLine="2650" w:firstLineChars="600"/>
        <w:jc w:val="both"/>
        <w:rPr>
          <w:rFonts w:hint="eastAsia" w:ascii="方正小标宋简体" w:eastAsia="方正小标宋简体"/>
          <w:b/>
          <w:bCs/>
          <w:sz w:val="44"/>
          <w:szCs w:val="44"/>
        </w:rPr>
      </w:pPr>
      <w:r>
        <w:rPr>
          <w:rFonts w:hint="eastAsia" w:ascii="方正小标宋简体" w:eastAsia="方正小标宋简体"/>
          <w:b/>
          <w:bCs/>
          <w:sz w:val="44"/>
          <w:szCs w:val="44"/>
        </w:rPr>
        <w:t>合同主要条款</w:t>
      </w:r>
    </w:p>
    <w:p w14:paraId="5AAD8810">
      <w:pPr>
        <w:adjustRightInd w:val="0"/>
        <w:snapToGrid w:val="0"/>
        <w:spacing w:line="336" w:lineRule="auto"/>
        <w:rPr>
          <w:rFonts w:hint="eastAsia" w:ascii="宋体" w:hAnsi="宋体" w:cs="宋体"/>
          <w:bCs/>
        </w:rPr>
      </w:pPr>
    </w:p>
    <w:p w14:paraId="7D694D35">
      <w:pPr>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甲方：湖州师范学院                   （以下简称甲方）</w:t>
      </w:r>
    </w:p>
    <w:p w14:paraId="75F3AECB">
      <w:pPr>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乙方：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（以下简称乙方）</w:t>
      </w:r>
    </w:p>
    <w:p w14:paraId="23A0E01B">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根据维修改造项目监理服务单位遴选项目要求和乙方的承诺，甲、乙双方按照平等互利、诚实信用的原则，经友好协商，共同确定以下合同条款。</w:t>
      </w:r>
    </w:p>
    <w:p w14:paraId="22DC3301">
      <w:pPr>
        <w:spacing w:line="520" w:lineRule="exact"/>
        <w:ind w:firstLine="562" w:firstLineChars="200"/>
        <w:rPr>
          <w:rFonts w:hint="eastAsia" w:ascii="仿宋_GB2312" w:hAnsi="仿宋_GB2312" w:eastAsia="仿宋_GB2312" w:cs="仿宋_GB2312"/>
          <w:b/>
          <w:bCs/>
          <w:sz w:val="28"/>
          <w:szCs w:val="28"/>
          <w:lang w:val="en-GB"/>
        </w:rPr>
      </w:pPr>
      <w:r>
        <w:rPr>
          <w:rFonts w:hint="eastAsia" w:ascii="仿宋_GB2312" w:hAnsi="仿宋_GB2312" w:eastAsia="仿宋_GB2312" w:cs="仿宋_GB2312"/>
          <w:b/>
          <w:bCs/>
          <w:sz w:val="28"/>
          <w:szCs w:val="28"/>
          <w:lang w:val="en-GB"/>
        </w:rPr>
        <w:t>一、项目名称、</w:t>
      </w:r>
      <w:r>
        <w:rPr>
          <w:rFonts w:hint="eastAsia" w:ascii="仿宋_GB2312" w:hAnsi="仿宋_GB2312" w:eastAsia="仿宋_GB2312" w:cs="仿宋_GB2312"/>
          <w:b/>
          <w:bCs/>
          <w:sz w:val="28"/>
          <w:szCs w:val="28"/>
        </w:rPr>
        <w:t>合同总价</w:t>
      </w:r>
    </w:p>
    <w:p w14:paraId="62DD2328">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1.项目名称：维修改造项目监理服务单位遴选项目</w:t>
      </w:r>
    </w:p>
    <w:p w14:paraId="75E6F43B">
      <w:pPr>
        <w:ind w:firstLine="560" w:firstLineChars="200"/>
        <w:rPr>
          <w:rFonts w:hint="eastAsia" w:ascii="仿宋_GB2312" w:hAnsi="仿宋_GB2312" w:eastAsia="仿宋_GB2312" w:cs="仿宋_GB2312"/>
          <w:b/>
          <w:color w:val="auto"/>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监理费率</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。合同总价包含</w:t>
      </w:r>
      <w:r>
        <w:rPr>
          <w:rFonts w:hint="eastAsia" w:ascii="仿宋_GB2312" w:hAnsi="仿宋_GB2312" w:eastAsia="仿宋_GB2312" w:cs="仿宋_GB2312"/>
          <w:sz w:val="28"/>
          <w:szCs w:val="28"/>
          <w:lang w:val="en-US" w:eastAsia="zh-CN"/>
        </w:rPr>
        <w:t>监理、车辆、人工、税费、服务、验收等一切费用在内。</w:t>
      </w:r>
    </w:p>
    <w:p w14:paraId="7036455D">
      <w:pPr>
        <w:keepNext w:val="0"/>
        <w:keepLines w:val="0"/>
        <w:pageBreakBefore w:val="0"/>
        <w:widowControl w:val="0"/>
        <w:kinsoku/>
        <w:wordWrap/>
        <w:overflowPunct/>
        <w:topLinePunct w:val="0"/>
        <w:autoSpaceDE/>
        <w:autoSpaceDN/>
        <w:bidi w:val="0"/>
        <w:adjustRightInd/>
        <w:snapToGrid/>
        <w:spacing w:line="510" w:lineRule="exact"/>
        <w:ind w:firstLine="562" w:firstLineChars="200"/>
        <w:textAlignment w:val="auto"/>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二</w:t>
      </w:r>
      <w:r>
        <w:rPr>
          <w:rFonts w:hint="eastAsia" w:ascii="仿宋_GB2312" w:hAnsi="仿宋_GB2312" w:eastAsia="仿宋_GB2312" w:cs="仿宋_GB2312"/>
          <w:b/>
          <w:bCs/>
          <w:sz w:val="28"/>
          <w:szCs w:val="28"/>
        </w:rPr>
        <w:t>、</w:t>
      </w:r>
      <w:r>
        <w:rPr>
          <w:rFonts w:hint="eastAsia" w:ascii="仿宋_GB2312" w:hAnsi="仿宋_GB2312" w:eastAsia="仿宋_GB2312" w:cs="仿宋_GB2312"/>
          <w:b/>
          <w:bCs/>
          <w:sz w:val="28"/>
          <w:szCs w:val="28"/>
          <w:lang w:val="en-US" w:eastAsia="zh-CN"/>
        </w:rPr>
        <w:t>服务内容</w:t>
      </w:r>
    </w:p>
    <w:p w14:paraId="1ED9D29C">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服务内容：后勤服务中心工程类维修改造项目所需监理服务。主要范围：单个维修改造合同金额在20万元（含）以上、100万元以下的项目；单个维修改造合同金额在20万元以下的项目，具体视项目工程施工难度确定监理服务，可参照执行。</w:t>
      </w:r>
    </w:p>
    <w:p w14:paraId="41870A90">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2" w:firstLineChars="200"/>
        <w:textAlignment w:val="auto"/>
        <w:rPr>
          <w:rFonts w:hint="eastAsia"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三、服务要求</w:t>
      </w:r>
    </w:p>
    <w:p w14:paraId="4C59DAFA">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1.中标人委派专人驻场管理，负责维修项目施工全过程质量控制、进度控制、投资控制、安全管理、合同履行、信息等管理和工作协调，协助项目验收。</w:t>
      </w:r>
    </w:p>
    <w:p w14:paraId="346C2B6C">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2.中标人应严格按《建设工程监理规范》（GB/T50319-2013）要求组织实施。</w:t>
      </w:r>
    </w:p>
    <w:p w14:paraId="1C0D2FB7">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3.每家中标人服务项目数不得超过本次服务期限内总项目数的二分之一。委托人按照中标人投标优惠率由高到低依次排序，按项目顺序轮流分配监理任务。</w:t>
      </w:r>
    </w:p>
    <w:p w14:paraId="123FA1E1">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4.中标人须接受委托人的考核管理。委托人将按照每个单项对监理服务进行考核，考核办法另行制定。</w:t>
      </w:r>
    </w:p>
    <w:p w14:paraId="7A8432AD">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2" w:firstLineChars="200"/>
        <w:textAlignment w:val="auto"/>
        <w:rPr>
          <w:rFonts w:hint="default"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四、合同期限</w:t>
      </w:r>
    </w:p>
    <w:p w14:paraId="534C6825">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eastAsia" w:ascii="仿宋_GB2312" w:hAnsi="仿宋_GB2312" w:eastAsia="仿宋_GB2312" w:cs="仿宋_GB2312"/>
          <w:color w:val="0C0C0C"/>
          <w:sz w:val="32"/>
          <w:szCs w:val="32"/>
          <w:lang w:val="en-US" w:eastAsia="zh-CN"/>
        </w:rPr>
      </w:pPr>
      <w:r>
        <w:rPr>
          <w:rFonts w:hint="eastAsia" w:ascii="仿宋_GB2312" w:hAnsi="仿宋_GB2312" w:eastAsia="仿宋_GB2312" w:cs="仿宋_GB2312"/>
          <w:color w:val="auto"/>
          <w:sz w:val="28"/>
          <w:szCs w:val="28"/>
          <w:lang w:val="en-US" w:eastAsia="zh-CN"/>
        </w:rPr>
        <w:t>合同期限</w:t>
      </w:r>
      <w:r>
        <w:rPr>
          <w:rFonts w:hint="eastAsia" w:ascii="仿宋_GB2312" w:hAnsi="仿宋_GB2312" w:eastAsia="仿宋_GB2312" w:cs="仿宋_GB2312"/>
          <w:color w:val="auto"/>
          <w:kern w:val="2"/>
          <w:sz w:val="28"/>
          <w:szCs w:val="28"/>
          <w:lang w:val="en-US" w:eastAsia="zh-CN" w:bidi="ar-SA"/>
        </w:rPr>
        <w:t>：合同签订之日起至2027年12月31日。</w:t>
      </w:r>
    </w:p>
    <w:p w14:paraId="1C86108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五、付款方式</w:t>
      </w:r>
    </w:p>
    <w:p w14:paraId="07653CA4">
      <w:pPr>
        <w:pStyle w:val="2"/>
        <w:keepNext w:val="0"/>
        <w:keepLines w:val="0"/>
        <w:pageBreakBefore w:val="0"/>
        <w:widowControl w:val="0"/>
        <w:kinsoku/>
        <w:wordWrap/>
        <w:overflowPunct/>
        <w:topLinePunct w:val="0"/>
        <w:autoSpaceDE/>
        <w:autoSpaceDN/>
        <w:bidi w:val="0"/>
        <w:adjustRightInd/>
        <w:snapToGrid/>
        <w:spacing w:after="0" w:line="520" w:lineRule="exact"/>
        <w:ind w:left="0" w:leftChars="0" w:firstLine="560" w:firstLineChars="200"/>
        <w:textAlignment w:val="auto"/>
        <w:rPr>
          <w:rFonts w:hint="default"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val="0"/>
          <w:bCs w:val="0"/>
          <w:color w:val="auto"/>
          <w:kern w:val="2"/>
          <w:sz w:val="28"/>
          <w:szCs w:val="28"/>
          <w:highlight w:val="none"/>
          <w:lang w:val="en-US" w:eastAsia="zh-CN" w:bidi="ar-SA"/>
        </w:rPr>
        <w:t>协助工程项目实施完毕并通过验收后一次性支付监理费。</w:t>
      </w:r>
    </w:p>
    <w:p w14:paraId="3E8ED45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2" w:firstLineChars="200"/>
        <w:textAlignment w:val="auto"/>
        <w:rPr>
          <w:rFonts w:hint="eastAsia"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六、保密条款</w:t>
      </w:r>
    </w:p>
    <w:p w14:paraId="3556C509">
      <w:pPr>
        <w:keepNext w:val="0"/>
        <w:keepLines w:val="0"/>
        <w:pageBreakBefore w:val="0"/>
        <w:widowControl/>
        <w:shd w:val="clear" w:color="auto" w:fill="FFFFFF"/>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乙方对履行合同过程中所获悉的属于甲方的且无法自公开渠道获得的文件及资料，应负保密义务，未经甲方书面同意，不得擅自利用或对外发表或披露。违反前述约定的，乙方应向中心支付违约金5000元；违约金不足以弥补甲方损失的，乙方还应负责赔偿。保密期限自乙方接收或知悉中心信息资料之日起至该信息资料公开之日或甲方解除乙方保密义务之日止。</w:t>
      </w:r>
    </w:p>
    <w:p w14:paraId="3D05E4C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2" w:firstLineChars="200"/>
        <w:textAlignment w:val="auto"/>
        <w:rPr>
          <w:rFonts w:hint="default"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七、退出机制与违约责任</w:t>
      </w:r>
    </w:p>
    <w:p w14:paraId="609C20BA">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643" w:firstLineChars="200"/>
        <w:jc w:val="left"/>
        <w:textAlignment w:val="auto"/>
        <w:rPr>
          <w:rFonts w:hint="eastAsia" w:ascii="楷体_GB2312" w:hAnsi="楷体_GB2312" w:eastAsia="楷体_GB2312" w:cs="楷体_GB2312"/>
          <w:b/>
          <w:bCs/>
          <w:color w:val="0C0C0C"/>
          <w:kern w:val="2"/>
          <w:sz w:val="32"/>
          <w:szCs w:val="32"/>
          <w:lang w:val="en-US" w:eastAsia="zh-CN" w:bidi="ar-SA"/>
        </w:rPr>
      </w:pPr>
      <w:r>
        <w:rPr>
          <w:rFonts w:hint="eastAsia" w:ascii="楷体_GB2312" w:hAnsi="楷体_GB2312" w:eastAsia="楷体_GB2312" w:cs="楷体_GB2312"/>
          <w:b/>
          <w:bCs/>
          <w:color w:val="0C0C0C"/>
          <w:kern w:val="2"/>
          <w:sz w:val="32"/>
          <w:szCs w:val="32"/>
          <w:lang w:val="en-US" w:eastAsia="zh-CN" w:bidi="ar-SA"/>
        </w:rPr>
        <w:tab/>
      </w:r>
      <w:r>
        <w:rPr>
          <w:rFonts w:hint="eastAsia" w:ascii="仿宋_GB2312" w:hAnsi="仿宋_GB2312" w:eastAsia="仿宋_GB2312" w:cs="仿宋_GB2312"/>
          <w:b/>
          <w:bCs/>
          <w:color w:val="auto"/>
          <w:kern w:val="2"/>
          <w:sz w:val="28"/>
          <w:szCs w:val="28"/>
          <w:lang w:val="en-US" w:eastAsia="zh-CN" w:bidi="ar-SA"/>
        </w:rPr>
        <w:t>（一）退出机制</w:t>
      </w:r>
    </w:p>
    <w:p w14:paraId="6333EE0D">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在服务期内，若中标人出现以下情形之一的，则直接取消监理服务资格：</w:t>
      </w:r>
    </w:p>
    <w:p w14:paraId="62921032">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1.在监理过程中发生违反国家法律法规、行业规定及明令禁止的违法行为。</w:t>
      </w:r>
    </w:p>
    <w:p w14:paraId="01848B5E">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2.驻场监理人员擅自脱岗或经常性缺岗。</w:t>
      </w:r>
    </w:p>
    <w:p w14:paraId="0C9AAD0F">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3.驻场监理人员违反职业道德，私自收受施工单位物品或接受施工单位宴请。</w:t>
      </w:r>
    </w:p>
    <w:p w14:paraId="04CAE7A3">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4.驻场监理人员专业技术水平不足，未能及时发现施工过程中的严重质量缺陷，造成重大经济损失或严重工期滞后等情形。</w:t>
      </w:r>
    </w:p>
    <w:p w14:paraId="0144DEA8">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5.与委托人配合态度消极，在施工过程中存在徇私舞弊，出现对施工材料的进场检验不严格、工程验收敷衍了事，工程变更和结算工程量审核严重脱离现实等情形。</w:t>
      </w:r>
    </w:p>
    <w:p w14:paraId="21F6966C">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6.违反保密义务，擅自利用或对外发表或披露属于委托人的且无法自公开渠道获得的文件及资料。</w:t>
      </w:r>
    </w:p>
    <w:p w14:paraId="591CB8D6">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0"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7.考核不合格。</w:t>
      </w:r>
    </w:p>
    <w:p w14:paraId="45DF2150">
      <w:pPr>
        <w:keepNext w:val="0"/>
        <w:keepLines w:val="0"/>
        <w:pageBreakBefore w:val="0"/>
        <w:widowControl w:val="0"/>
        <w:tabs>
          <w:tab w:val="left" w:pos="743"/>
        </w:tabs>
        <w:kinsoku/>
        <w:wordWrap/>
        <w:overflowPunct/>
        <w:topLinePunct w:val="0"/>
        <w:autoSpaceDE/>
        <w:autoSpaceDN/>
        <w:bidi w:val="0"/>
        <w:adjustRightInd/>
        <w:snapToGrid/>
        <w:spacing w:line="520" w:lineRule="exact"/>
        <w:ind w:firstLine="562" w:firstLineChars="200"/>
        <w:jc w:val="left"/>
        <w:textAlignment w:val="auto"/>
        <w:rPr>
          <w:rFonts w:hint="eastAsia" w:ascii="仿宋_GB2312" w:hAnsi="仿宋_GB2312" w:eastAsia="仿宋_GB2312" w:cs="仿宋_GB2312"/>
          <w:color w:val="0C0C0C"/>
          <w:kern w:val="2"/>
          <w:sz w:val="28"/>
          <w:szCs w:val="28"/>
          <w:lang w:val="en-US" w:eastAsia="zh-CN" w:bidi="ar-SA"/>
        </w:rPr>
      </w:pPr>
      <w:r>
        <w:rPr>
          <w:rFonts w:hint="eastAsia" w:ascii="楷体_GB2312" w:hAnsi="楷体_GB2312" w:eastAsia="楷体_GB2312" w:cs="楷体_GB2312"/>
          <w:b/>
          <w:bCs/>
          <w:color w:val="0C0C0C"/>
          <w:kern w:val="2"/>
          <w:sz w:val="28"/>
          <w:szCs w:val="28"/>
          <w:lang w:val="en-US" w:eastAsia="zh-CN" w:bidi="ar-SA"/>
        </w:rPr>
        <w:t>（二）违约责任</w:t>
      </w:r>
    </w:p>
    <w:p w14:paraId="178F3213">
      <w:pPr>
        <w:spacing w:line="520" w:lineRule="exact"/>
        <w:ind w:firstLine="560" w:firstLineChars="200"/>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1.驻场监理人员应在项目实施过程中全程监理，每缺勤一日，处以100元的罚金。</w:t>
      </w:r>
    </w:p>
    <w:p w14:paraId="600BBFAA">
      <w:pPr>
        <w:spacing w:line="520" w:lineRule="exact"/>
        <w:ind w:firstLine="560" w:firstLineChars="200"/>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2.中标人未经委托人书面同意，不得擅自更换项目负责人、驻场管理人员，违反处以500-1000元的罚金。</w:t>
      </w:r>
    </w:p>
    <w:p w14:paraId="234F8FCD">
      <w:pPr>
        <w:spacing w:line="520" w:lineRule="exact"/>
        <w:ind w:firstLine="560" w:firstLineChars="200"/>
        <w:rPr>
          <w:rFonts w:hint="eastAsia" w:ascii="仿宋_GB2312" w:hAnsi="仿宋_GB2312" w:eastAsia="仿宋_GB2312" w:cs="仿宋_GB2312"/>
          <w:color w:val="0C0C0C"/>
          <w:kern w:val="2"/>
          <w:sz w:val="28"/>
          <w:szCs w:val="28"/>
          <w:lang w:val="en-US" w:eastAsia="zh-CN" w:bidi="ar-SA"/>
        </w:rPr>
      </w:pPr>
      <w:r>
        <w:rPr>
          <w:rFonts w:hint="eastAsia" w:ascii="仿宋_GB2312" w:hAnsi="仿宋_GB2312" w:eastAsia="仿宋_GB2312" w:cs="仿宋_GB2312"/>
          <w:color w:val="0C0C0C"/>
          <w:kern w:val="2"/>
          <w:sz w:val="28"/>
          <w:szCs w:val="28"/>
          <w:lang w:val="en-US" w:eastAsia="zh-CN" w:bidi="ar-SA"/>
        </w:rPr>
        <w:t>3.中标人逾期提供服务的，每逾期一日，处以100元的罚金。逾期超过约定日期10个工作日的，直接解除合同。</w:t>
      </w:r>
    </w:p>
    <w:p w14:paraId="6F94BCF5">
      <w:pPr>
        <w:spacing w:line="5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九</w:t>
      </w:r>
      <w:r>
        <w:rPr>
          <w:rFonts w:hint="eastAsia" w:ascii="仿宋_GB2312" w:hAnsi="仿宋_GB2312" w:eastAsia="仿宋_GB2312" w:cs="仿宋_GB2312"/>
          <w:b/>
          <w:bCs/>
          <w:sz w:val="28"/>
          <w:szCs w:val="28"/>
        </w:rPr>
        <w:t>、双方责任</w:t>
      </w:r>
    </w:p>
    <w:p w14:paraId="5D634CD7">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1.乙方负责本项目的管理人员、清洁人员、实施人员等均符合询价文件及甲方的要求，以确保服务质量。</w:t>
      </w:r>
    </w:p>
    <w:p w14:paraId="2FA89CE8">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2..乙方服务时，应做好安全防范措施。因乙方原因造成人员及财产损失的，由乙方负全部责任。</w:t>
      </w:r>
    </w:p>
    <w:p w14:paraId="42F53AB5">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3.乙方如未在甲方要求时间范围内完成符合甲方要求的清洁服务工作，甲方有权终止合同，并拒付本次费用。</w:t>
      </w:r>
    </w:p>
    <w:p w14:paraId="2C65A9B5">
      <w:pPr>
        <w:spacing w:line="5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十</w:t>
      </w:r>
      <w:r>
        <w:rPr>
          <w:rFonts w:hint="eastAsia" w:ascii="仿宋_GB2312" w:hAnsi="仿宋_GB2312" w:eastAsia="仿宋_GB2312" w:cs="仿宋_GB2312"/>
          <w:b/>
          <w:bCs/>
          <w:sz w:val="28"/>
          <w:szCs w:val="28"/>
        </w:rPr>
        <w:t>、争议解决</w:t>
      </w:r>
    </w:p>
    <w:p w14:paraId="2A5969CE">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1.本合同的订立、解释、履行及争议解决，均适用中华人民共和国法律。</w:t>
      </w:r>
    </w:p>
    <w:p w14:paraId="451CDDF2">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2.本合同履行过程中发生争议的，甲乙双方应友好协商；协商不成的，任何一方可向甲方所在地人民法院起诉。</w:t>
      </w:r>
    </w:p>
    <w:p w14:paraId="2820F14F">
      <w:pPr>
        <w:spacing w:line="5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十一</w:t>
      </w:r>
      <w:r>
        <w:rPr>
          <w:rFonts w:hint="eastAsia" w:ascii="仿宋_GB2312" w:hAnsi="仿宋_GB2312" w:eastAsia="仿宋_GB2312" w:cs="仿宋_GB2312"/>
          <w:b/>
          <w:bCs/>
          <w:sz w:val="28"/>
          <w:szCs w:val="28"/>
        </w:rPr>
        <w:t>、合同生效及其他</w:t>
      </w:r>
    </w:p>
    <w:p w14:paraId="6C647B4B">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1.本合同经甲乙双方加盖公章后生效。合同内容如遇国家法律、法规及政策另有规定的，从其规定。</w:t>
      </w:r>
    </w:p>
    <w:p w14:paraId="5FDF3555">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2.本合同一式伍份，甲方执肆份，乙方执壹份，具有同等法律效力。</w:t>
      </w:r>
    </w:p>
    <w:p w14:paraId="21D9C2ED">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（以下无正文）</w:t>
      </w:r>
    </w:p>
    <w:p w14:paraId="1AE121D1">
      <w:pPr>
        <w:spacing w:line="52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甲方                           乙方</w:t>
      </w:r>
    </w:p>
    <w:p w14:paraId="1BAF2AFF">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湖州师范学院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w:t>
      </w:r>
    </w:p>
    <w:p w14:paraId="2B48C33E">
      <w:pPr>
        <w:spacing w:line="520" w:lineRule="exact"/>
        <w:ind w:left="6798" w:leftChars="304" w:hanging="6160" w:hangingChars="2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法定代表人或代表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法定代表人或代表</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14:paraId="58EC6B78">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地址：浙江省湖州市             地址：</w:t>
      </w:r>
    </w:p>
    <w:p w14:paraId="3831239C">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二环东路759号  </w:t>
      </w:r>
    </w:p>
    <w:p w14:paraId="17A170EB">
      <w:pPr>
        <w:spacing w:line="52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电话：                         电话：                          </w:t>
      </w:r>
    </w:p>
    <w:p w14:paraId="7418C93A">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邮编：313000                   邮编：</w:t>
      </w:r>
    </w:p>
    <w:p w14:paraId="688C29F0">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开户银行：建行吴兴支行         开户银行：</w:t>
      </w:r>
    </w:p>
    <w:p w14:paraId="550E7422">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银行账号：33001649335050002860 银行账号：</w:t>
      </w:r>
    </w:p>
    <w:p w14:paraId="6FF40636">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            统一社会信用代码：</w:t>
      </w:r>
    </w:p>
    <w:p w14:paraId="0D5AD147">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123305004711725032                 </w:t>
      </w:r>
    </w:p>
    <w:p w14:paraId="623796C6">
      <w:pPr>
        <w:spacing w:line="52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                       联系人：</w:t>
      </w:r>
    </w:p>
    <w:p w14:paraId="45893AC6">
      <w:pPr>
        <w:spacing w:line="520" w:lineRule="exact"/>
        <w:ind w:left="4558" w:leftChars="304" w:hanging="3920" w:hangingChars="1400"/>
        <w:rPr>
          <w:rFonts w:hint="eastAsia" w:ascii="黑体" w:hAnsi="黑体" w:eastAsia="黑体" w:cs="黑体"/>
          <w:b/>
          <w:bCs/>
          <w:spacing w:val="-6"/>
          <w:sz w:val="32"/>
          <w:szCs w:val="32"/>
        </w:rPr>
      </w:pPr>
      <w:r>
        <w:rPr>
          <w:rFonts w:hint="eastAsia" w:ascii="仿宋_GB2312" w:hAnsi="仿宋_GB2312" w:eastAsia="仿宋_GB2312" w:cs="仿宋_GB2312"/>
          <w:sz w:val="28"/>
          <w:szCs w:val="28"/>
        </w:rPr>
        <w:t>签约日期：202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 月 日       合同签订地：浙江省湖州市二环东路759号</w:t>
      </w:r>
    </w:p>
    <w:p w14:paraId="6BBCC894">
      <w:pPr>
        <w:spacing w:line="600" w:lineRule="exact"/>
        <w:rPr>
          <w:rFonts w:hint="default" w:ascii="仿宋_GB2312" w:hAnsi="仿宋_GB2312" w:eastAsia="仿宋_GB2312" w:cs="仿宋_GB2312"/>
          <w:sz w:val="32"/>
          <w:szCs w:val="32"/>
          <w:lang w:val="en-US" w:eastAsia="zh-CN"/>
        </w:rPr>
      </w:pPr>
    </w:p>
    <w:p w14:paraId="3CF0105B">
      <w:pPr>
        <w:snapToGrid w:val="0"/>
        <w:spacing w:before="156" w:beforeLines="50" w:after="50" w:line="400" w:lineRule="exact"/>
        <w:outlineLvl w:val="1"/>
        <w:rPr>
          <w:rFonts w:hint="eastAsia" w:ascii="黑体" w:hAnsi="黑体" w:eastAsia="黑体" w:cs="黑体"/>
          <w:b/>
          <w:bCs/>
          <w:spacing w:val="-6"/>
          <w:sz w:val="32"/>
          <w:szCs w:val="32"/>
        </w:rPr>
      </w:pPr>
    </w:p>
    <w:p w14:paraId="42B6F473">
      <w:pPr>
        <w:snapToGrid w:val="0"/>
        <w:spacing w:before="156" w:beforeLines="50" w:after="50" w:line="400" w:lineRule="exact"/>
        <w:outlineLvl w:val="1"/>
        <w:rPr>
          <w:rFonts w:hint="eastAsia" w:ascii="黑体" w:hAnsi="黑体" w:eastAsia="黑体" w:cs="黑体"/>
          <w:b/>
          <w:bCs/>
          <w:spacing w:val="-6"/>
          <w:sz w:val="32"/>
          <w:szCs w:val="32"/>
        </w:rPr>
      </w:pPr>
    </w:p>
    <w:p w14:paraId="0B590ED7">
      <w:pPr>
        <w:snapToGrid w:val="0"/>
        <w:spacing w:before="156" w:beforeLines="50" w:after="50" w:line="400" w:lineRule="exact"/>
        <w:outlineLvl w:val="1"/>
        <w:rPr>
          <w:rFonts w:hint="eastAsia" w:ascii="黑体" w:hAnsi="黑体" w:eastAsia="黑体" w:cs="黑体"/>
          <w:b/>
          <w:bCs/>
          <w:spacing w:val="-6"/>
          <w:sz w:val="32"/>
          <w:szCs w:val="32"/>
        </w:rPr>
      </w:pPr>
    </w:p>
    <w:p w14:paraId="12FC07D2">
      <w:pPr>
        <w:snapToGrid w:val="0"/>
        <w:spacing w:before="156" w:beforeLines="50" w:after="50" w:line="400" w:lineRule="exact"/>
        <w:outlineLvl w:val="1"/>
        <w:rPr>
          <w:rFonts w:hint="eastAsia" w:ascii="黑体" w:hAnsi="黑体" w:eastAsia="黑体" w:cs="黑体"/>
          <w:b/>
          <w:bCs/>
          <w:spacing w:val="-6"/>
          <w:sz w:val="32"/>
          <w:szCs w:val="32"/>
        </w:rPr>
      </w:pPr>
    </w:p>
    <w:p w14:paraId="6D180E9F">
      <w:pPr>
        <w:snapToGrid w:val="0"/>
        <w:spacing w:before="156" w:beforeLines="50" w:after="50" w:line="400" w:lineRule="exact"/>
        <w:outlineLvl w:val="1"/>
        <w:rPr>
          <w:rFonts w:hint="eastAsia" w:ascii="黑体" w:hAnsi="黑体" w:eastAsia="黑体" w:cs="黑体"/>
          <w:b/>
          <w:bCs/>
          <w:spacing w:val="-6"/>
          <w:sz w:val="32"/>
          <w:szCs w:val="32"/>
        </w:rPr>
      </w:pPr>
    </w:p>
    <w:p w14:paraId="73AEE7BB">
      <w:pPr>
        <w:snapToGrid w:val="0"/>
        <w:spacing w:before="156" w:beforeLines="50" w:after="50" w:line="400" w:lineRule="exact"/>
        <w:outlineLvl w:val="1"/>
        <w:rPr>
          <w:rFonts w:hint="eastAsia" w:ascii="黑体" w:hAnsi="黑体" w:eastAsia="黑体" w:cs="黑体"/>
          <w:b/>
          <w:bCs/>
          <w:spacing w:val="-6"/>
          <w:sz w:val="32"/>
          <w:szCs w:val="32"/>
        </w:rPr>
      </w:pPr>
    </w:p>
    <w:p w14:paraId="2D14A3E3">
      <w:pPr>
        <w:snapToGrid w:val="0"/>
        <w:spacing w:before="156" w:beforeLines="50" w:after="50" w:line="400" w:lineRule="exact"/>
        <w:outlineLvl w:val="1"/>
        <w:rPr>
          <w:rFonts w:hint="eastAsia" w:ascii="黑体" w:hAnsi="黑体" w:eastAsia="黑体" w:cs="黑体"/>
          <w:b/>
          <w:bCs/>
          <w:sz w:val="32"/>
          <w:szCs w:val="32"/>
        </w:rPr>
      </w:pPr>
      <w:r>
        <w:rPr>
          <w:rFonts w:hint="eastAsia" w:ascii="黑体" w:hAnsi="黑体" w:eastAsia="黑体" w:cs="黑体"/>
          <w:b/>
          <w:bCs/>
          <w:spacing w:val="-6"/>
          <w:sz w:val="32"/>
          <w:szCs w:val="32"/>
        </w:rPr>
        <w:t>附件</w:t>
      </w:r>
      <w:r>
        <w:rPr>
          <w:rFonts w:hint="eastAsia" w:ascii="黑体" w:hAnsi="黑体" w:eastAsia="黑体" w:cs="黑体"/>
          <w:b/>
          <w:bCs/>
          <w:spacing w:val="-6"/>
          <w:sz w:val="32"/>
          <w:szCs w:val="32"/>
          <w:lang w:val="en-US" w:eastAsia="zh-CN"/>
        </w:rPr>
        <w:t>1</w:t>
      </w:r>
      <w:r>
        <w:rPr>
          <w:rFonts w:hint="eastAsia" w:ascii="黑体" w:hAnsi="黑体" w:eastAsia="黑体" w:cs="黑体"/>
          <w:b/>
          <w:bCs/>
          <w:spacing w:val="-6"/>
          <w:sz w:val="32"/>
          <w:szCs w:val="32"/>
        </w:rPr>
        <w:t>:</w:t>
      </w:r>
    </w:p>
    <w:p w14:paraId="6EC91F51">
      <w:pPr>
        <w:spacing w:line="600" w:lineRule="exac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报 价 单</w:t>
      </w:r>
    </w:p>
    <w:p w14:paraId="51C035EB">
      <w:pPr>
        <w:spacing w:line="312" w:lineRule="auto"/>
        <w:jc w:val="center"/>
        <w:rPr>
          <w:rFonts w:hint="eastAsia" w:ascii="宋体" w:hAnsi="宋体"/>
          <w:b/>
          <w:bCs/>
          <w:sz w:val="52"/>
          <w:szCs w:val="52"/>
        </w:rPr>
      </w:pPr>
    </w:p>
    <w:p w14:paraId="3559BAF0">
      <w:pPr>
        <w:spacing w:line="520" w:lineRule="exact"/>
        <w:ind w:firstLine="640" w:firstLineChars="200"/>
        <w:rPr>
          <w:rFonts w:hint="eastAsia" w:ascii="仿宋" w:hAnsi="仿宋" w:eastAsia="仿宋" w:cs="仿宋"/>
          <w:sz w:val="32"/>
          <w:szCs w:val="32"/>
          <w:lang w:val="en-US" w:eastAsia="zh-CN"/>
        </w:rPr>
      </w:pPr>
      <w:r>
        <w:rPr>
          <w:rFonts w:hint="eastAsia" w:ascii="仿宋_GB2312" w:eastAsia="仿宋_GB2312"/>
          <w:sz w:val="32"/>
          <w:szCs w:val="32"/>
        </w:rPr>
        <w:t>项目名称</w:t>
      </w:r>
      <w:r>
        <w:rPr>
          <w:rFonts w:hint="eastAsia" w:ascii="仿宋" w:hAnsi="仿宋" w:eastAsia="仿宋" w:cs="仿宋"/>
          <w:sz w:val="32"/>
          <w:szCs w:val="32"/>
          <w:lang w:val="en-US" w:eastAsia="zh-CN"/>
        </w:rPr>
        <w:t>：维修改造项目监理服务单位遴选项目</w:t>
      </w:r>
    </w:p>
    <w:p w14:paraId="1C9EE195">
      <w:pPr>
        <w:rPr>
          <w:rFonts w:hint="eastAsia" w:ascii="仿宋_GB2312" w:eastAsia="仿宋_GB2312"/>
          <w:sz w:val="32"/>
          <w:szCs w:val="32"/>
        </w:rPr>
      </w:pPr>
    </w:p>
    <w:p w14:paraId="141ACCD1">
      <w:pPr>
        <w:spacing w:line="312" w:lineRule="auto"/>
        <w:rPr>
          <w:rFonts w:hint="eastAsia" w:ascii="仿宋" w:hAnsi="仿宋" w:eastAsia="仿宋" w:cs="仿宋"/>
          <w:sz w:val="32"/>
          <w:szCs w:val="32"/>
        </w:rPr>
      </w:pPr>
    </w:p>
    <w:p w14:paraId="3E2FA28F">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本项目监理费率投标</w:t>
      </w:r>
      <w:r>
        <w:rPr>
          <w:rFonts w:hint="eastAsia" w:ascii="仿宋_GB2312" w:eastAsia="仿宋_GB2312"/>
          <w:sz w:val="32"/>
          <w:szCs w:val="32"/>
        </w:rPr>
        <w:t>报价：</w:t>
      </w:r>
    </w:p>
    <w:p w14:paraId="74E36D9D">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人民币大写：</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_GB2312" w:eastAsia="仿宋_GB2312"/>
          <w:sz w:val="32"/>
          <w:szCs w:val="32"/>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_GB2312" w:eastAsia="仿宋_GB2312"/>
          <w:sz w:val="32"/>
          <w:szCs w:val="32"/>
        </w:rPr>
        <w:t>）。</w:t>
      </w:r>
    </w:p>
    <w:p w14:paraId="61A17735">
      <w:pPr>
        <w:spacing w:line="520" w:lineRule="exact"/>
        <w:ind w:firstLine="640" w:firstLineChars="200"/>
        <w:rPr>
          <w:rFonts w:hint="eastAsia" w:ascii="仿宋" w:hAnsi="仿宋" w:eastAsia="仿宋" w:cs="仿宋"/>
          <w:sz w:val="32"/>
          <w:szCs w:val="32"/>
        </w:rPr>
      </w:pPr>
    </w:p>
    <w:p w14:paraId="1282A66B">
      <w:p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注：1.保留小数点后两位。</w:t>
      </w:r>
    </w:p>
    <w:p w14:paraId="57EEA4BF">
      <w:pPr>
        <w:numPr>
          <w:ilvl w:val="0"/>
          <w:numId w:val="2"/>
        </w:numPr>
        <w:ind w:firstLine="1292" w:firstLineChars="404"/>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投标报价高于最高限价1%为无效标。</w:t>
      </w:r>
    </w:p>
    <w:p w14:paraId="7F22BCE2">
      <w:pPr>
        <w:numPr>
          <w:ilvl w:val="0"/>
          <w:numId w:val="0"/>
        </w:numPr>
        <w:ind w:firstLine="1280" w:firstLineChars="400"/>
        <w:rPr>
          <w:rFonts w:hint="eastAsia" w:ascii="仿宋" w:hAnsi="仿宋" w:eastAsia="仿宋" w:cs="仿宋"/>
          <w:sz w:val="32"/>
          <w:szCs w:val="32"/>
        </w:rPr>
      </w:pPr>
      <w:r>
        <w:rPr>
          <w:rFonts w:hint="eastAsia" w:ascii="仿宋" w:hAnsi="仿宋" w:eastAsia="仿宋" w:cs="仿宋"/>
          <w:sz w:val="32"/>
          <w:szCs w:val="32"/>
          <w:lang w:val="en-US" w:eastAsia="zh-CN"/>
        </w:rPr>
        <w:t>3.以上报价包括监理、车辆、人工、税费、服务、验收等全部费用在内。</w:t>
      </w:r>
    </w:p>
    <w:p w14:paraId="653AAB7B">
      <w:pPr>
        <w:spacing w:line="312" w:lineRule="auto"/>
        <w:ind w:firstLine="320" w:firstLineChars="100"/>
        <w:rPr>
          <w:rFonts w:hint="eastAsia" w:ascii="仿宋" w:hAnsi="仿宋" w:eastAsia="仿宋" w:cs="仿宋"/>
          <w:sz w:val="32"/>
          <w:szCs w:val="32"/>
        </w:rPr>
      </w:pPr>
    </w:p>
    <w:p w14:paraId="482A96F1">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我单位已阅读本项目询价文件并响应文件中的各条款。并同意按</w:t>
      </w:r>
      <w:r>
        <w:rPr>
          <w:rFonts w:hint="eastAsia" w:ascii="仿宋_GB2312" w:eastAsia="仿宋_GB2312"/>
          <w:sz w:val="32"/>
          <w:szCs w:val="32"/>
          <w:lang w:val="en-US" w:eastAsia="zh-CN"/>
        </w:rPr>
        <w:t>采购人监理费率计算方式</w:t>
      </w:r>
      <w:r>
        <w:rPr>
          <w:rFonts w:hint="eastAsia" w:ascii="仿宋_GB2312" w:eastAsia="仿宋_GB2312"/>
          <w:sz w:val="32"/>
          <w:szCs w:val="32"/>
        </w:rPr>
        <w:t>提供服务。</w:t>
      </w:r>
    </w:p>
    <w:p w14:paraId="230019D0">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     </w:t>
      </w:r>
    </w:p>
    <w:p w14:paraId="7924CEEC">
      <w:pPr>
        <w:spacing w:line="520" w:lineRule="exact"/>
        <w:ind w:firstLine="4480" w:firstLineChars="1400"/>
        <w:jc w:val="left"/>
        <w:rPr>
          <w:rFonts w:hint="eastAsia" w:ascii="仿宋_GB2312" w:eastAsia="仿宋_GB2312"/>
          <w:sz w:val="32"/>
          <w:szCs w:val="32"/>
        </w:rPr>
      </w:pPr>
      <w:r>
        <w:rPr>
          <w:rFonts w:hint="eastAsia" w:ascii="仿宋_GB2312" w:eastAsia="仿宋_GB2312"/>
          <w:sz w:val="32"/>
          <w:szCs w:val="32"/>
        </w:rPr>
        <w:t>报价单位：</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_GB2312" w:eastAsia="仿宋_GB2312"/>
          <w:sz w:val="32"/>
          <w:szCs w:val="32"/>
        </w:rPr>
        <w:t xml:space="preserve">                 </w:t>
      </w:r>
    </w:p>
    <w:p w14:paraId="5E5325B5">
      <w:pPr>
        <w:spacing w:line="520" w:lineRule="exact"/>
        <w:ind w:firstLine="640" w:firstLineChars="200"/>
        <w:jc w:val="left"/>
        <w:rPr>
          <w:rFonts w:hint="eastAsia" w:ascii="仿宋_GB2312" w:eastAsia="仿宋_GB2312"/>
          <w:sz w:val="32"/>
          <w:szCs w:val="32"/>
        </w:rPr>
      </w:pPr>
      <w:r>
        <w:rPr>
          <w:rFonts w:hint="eastAsia" w:ascii="仿宋_GB2312" w:eastAsia="仿宋_GB2312"/>
          <w:sz w:val="32"/>
          <w:szCs w:val="32"/>
        </w:rPr>
        <w:t xml:space="preserve">                                 （盖章）</w:t>
      </w:r>
    </w:p>
    <w:p w14:paraId="6F77728F">
      <w:pPr>
        <w:jc w:val="left"/>
        <w:rPr>
          <w:rFonts w:hint="eastAsia" w:ascii="仿宋_GB2312" w:eastAsia="仿宋_GB2312"/>
          <w:sz w:val="32"/>
          <w:szCs w:val="32"/>
        </w:rPr>
      </w:pPr>
      <w:r>
        <w:rPr>
          <w:rFonts w:hint="eastAsia" w:ascii="仿宋_GB2312" w:eastAsia="仿宋_GB2312"/>
          <w:sz w:val="32"/>
          <w:szCs w:val="32"/>
        </w:rPr>
        <w:t xml:space="preserve">                            报价代表（签字）：            </w:t>
      </w:r>
    </w:p>
    <w:p w14:paraId="70A43B71">
      <w:pPr>
        <w:spacing w:line="520" w:lineRule="exact"/>
        <w:ind w:firstLine="640" w:firstLineChars="200"/>
        <w:jc w:val="left"/>
        <w:rPr>
          <w:rFonts w:hint="eastAsia" w:ascii="仿宋_GB2312" w:eastAsia="仿宋_GB2312"/>
          <w:sz w:val="32"/>
          <w:szCs w:val="32"/>
        </w:rPr>
      </w:pPr>
      <w:r>
        <w:rPr>
          <w:rFonts w:hint="eastAsia" w:ascii="仿宋_GB2312" w:eastAsia="仿宋_GB2312"/>
          <w:sz w:val="32"/>
          <w:szCs w:val="32"/>
        </w:rPr>
        <w:t xml:space="preserve">                        日期：  年     月     日</w:t>
      </w:r>
    </w:p>
    <w:p w14:paraId="10CC33E8">
      <w:pPr>
        <w:spacing w:line="600" w:lineRule="exact"/>
        <w:rPr>
          <w:rFonts w:hint="default" w:ascii="仿宋_GB2312" w:hAnsi="仿宋_GB2312" w:eastAsia="仿宋_GB2312" w:cs="仿宋_GB2312"/>
          <w:sz w:val="32"/>
          <w:szCs w:val="32"/>
          <w:lang w:val="en-US" w:eastAsia="zh-CN"/>
        </w:rPr>
      </w:pPr>
    </w:p>
    <w:sectPr>
      <w:pgSz w:w="11906" w:h="16838"/>
      <w:pgMar w:top="1780" w:right="1406" w:bottom="178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altName w:val="仿宋_GB2312"/>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A742BD"/>
    <w:multiLevelType w:val="singleLevel"/>
    <w:tmpl w:val="9CA742BD"/>
    <w:lvl w:ilvl="0" w:tentative="0">
      <w:start w:val="6"/>
      <w:numFmt w:val="chineseCounting"/>
      <w:suff w:val="nothing"/>
      <w:lvlText w:val="%1、"/>
      <w:lvlJc w:val="left"/>
      <w:rPr>
        <w:rFonts w:hint="eastAsia"/>
      </w:rPr>
    </w:lvl>
  </w:abstractNum>
  <w:abstractNum w:abstractNumId="1">
    <w:nsid w:val="C1D23FB1"/>
    <w:multiLevelType w:val="singleLevel"/>
    <w:tmpl w:val="C1D23FB1"/>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6D1EA9"/>
    <w:rsid w:val="01FD3355"/>
    <w:rsid w:val="06847D2F"/>
    <w:rsid w:val="0B397468"/>
    <w:rsid w:val="106D1EA9"/>
    <w:rsid w:val="13523D2F"/>
    <w:rsid w:val="179172FE"/>
    <w:rsid w:val="21C90A3A"/>
    <w:rsid w:val="2AFC5BEF"/>
    <w:rsid w:val="3E8C0CAA"/>
    <w:rsid w:val="56BE2413"/>
    <w:rsid w:val="5D6C2909"/>
    <w:rsid w:val="61192828"/>
    <w:rsid w:val="65482685"/>
    <w:rsid w:val="66CD518A"/>
    <w:rsid w:val="71F87150"/>
    <w:rsid w:val="76210048"/>
    <w:rsid w:val="77E63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Normal (Web)"/>
    <w:basedOn w:val="1"/>
    <w:qFormat/>
    <w:uiPriority w:val="0"/>
    <w:rPr>
      <w:sz w:val="24"/>
    </w:rPr>
  </w:style>
  <w:style w:type="paragraph" w:styleId="4">
    <w:name w:val="Body Text First Indent"/>
    <w:unhideWhenUsed/>
    <w:qFormat/>
    <w:uiPriority w:val="0"/>
    <w:pPr>
      <w:widowControl w:val="0"/>
      <w:spacing w:after="120" w:line="288" w:lineRule="auto"/>
      <w:ind w:firstLine="420" w:firstLineChars="100"/>
      <w:jc w:val="both"/>
    </w:pPr>
    <w:rPr>
      <w:rFonts w:hint="default" w:ascii="Times New Roman" w:hAnsi="Calibri" w:eastAsia="宋体" w:cs="Times New Roman"/>
      <w:kern w:val="2"/>
      <w:sz w:val="28"/>
      <w:szCs w:val="24"/>
      <w:lang w:val="en-US" w:eastAsia="zh-CN" w:bidi="ar-SA"/>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_Style 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3619</Words>
  <Characters>3919</Characters>
  <Lines>0</Lines>
  <Paragraphs>0</Paragraphs>
  <TotalTime>44</TotalTime>
  <ScaleCrop>false</ScaleCrop>
  <LinksUpToDate>false</LinksUpToDate>
  <CharactersWithSpaces>4451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2025-06-13T08:49:00Z</dcterms:created>
  <dc:creator>admin</dc:creator>
  <cp:lastModifiedBy>闻闻看</cp:lastModifiedBy>
  <dcterms:modified xsi:type="dcterms:W3CDTF">2026-10-08T01:15:08Z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5F5E4D171614498E8DBAB72C165FB60B_11</vt:lpwstr>
  </property>
  <property fmtid="{D5CDD505-2E9C-101B-9397-08002B2CF9AE}" pid="4" name="KSOTemplateDocerSaveRecord">
    <vt:lpwstr>eyJoZGlkIjoiMWE1OGQ0ZTVmOTg2NzIxOTlmODgzNGRkN2IyNjM5MGMiLCJ1c2VySWQiOiI0MTY5MDU3MjgifQ==</vt:lpwstr>
  </property>
</Properties>
</file>